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311</w:t>
      </w:r>
      <w:r>
        <w:t xml:space="preserve"> </w:t>
      </w:r>
      <w:r>
        <w:t xml:space="preserve">Service-Request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and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Transfer</w:t>
      </w:r>
    </w:p>
    <w:bookmarkStart w:id="69" w:name="X1bdb714755ce25c46395328e9b34aff9fcc1361"/>
    <w:p>
      <w:pPr>
        <w:pStyle w:val="Heading1"/>
      </w:pPr>
      <w:r>
        <w:t xml:space="preserve">A Multi-City Free-Text Benchmark for 311 Service-Request Classification and Cross-Jurisdiction Transfer</w:t>
      </w:r>
    </w:p>
    <w:p>
      <w:pPr>
        <w:pStyle w:val="FirstParagraph"/>
        <w:jc w:val="both"/>
      </w:pPr>
      <w:r>
        <w:t xml:space="preserve">Alexander Apartsin</w:t>
      </w:r>
    </w:p>
    <w:p>
      <w:pPr>
        <w:pStyle w:val="BodyText"/>
        <w:jc w:val="both"/>
      </w:pPr>
      <w:r>
        <w:t xml:space="preserve">Working paper, August 2026 · Code, data, and results:</w:t>
      </w:r>
      <w:r>
        <w:t xml:space="preserve"> </w:t>
      </w:r>
      <w:hyperlink r:id="rId20">
        <w:r>
          <w:rPr>
            <w:rStyle w:val="Hyperlink"/>
          </w:rPr>
          <w:t xml:space="preserve">github.com/ApartsinProjects/311</w:t>
        </w:r>
      </w:hyperlink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the first public multi-city free-text 311 corpus, drawing citizen narratives</w:t>
      </w:r>
      <w:r>
        <w:t xml:space="preserve"> </w:t>
      </w:r>
      <w:r>
        <w:t xml:space="preserve">from seven US cities, and map each city's native service taxonomy (545 distinct categories) into a shared</w:t>
      </w:r>
      <w:r>
        <w:t xml:space="preserve"> </w:t>
      </w:r>
      <w:r>
        <w:t xml:space="preserve">14-class civic ontology so that models can be evaluated across jurisdictions. Every model is evaluated on a</w:t>
      </w:r>
      <w:r>
        <w:t xml:space="preserve"> </w:t>
      </w:r>
      <w:r>
        <w:t xml:space="preserve">single frozen per-city test set, so in-city and leave-one-city-out (LOCO) results are one comparison. Crossing</w:t>
      </w:r>
      <w:r>
        <w:t xml:space="preserve"> </w:t>
      </w:r>
      <w:r>
        <w:t xml:space="preserve">a city boundary roughly halves pooled macro-F1: a fine-tuned DistilBERT drops from 0.827 in-city to 0.558</w:t>
      </w:r>
      <w:r>
        <w:t xml:space="preserve"> </w:t>
      </w:r>
      <w:r>
        <w:t xml:space="preserve">across cities (95% CI [0.54, 0.58]), and a TF-IDF classifier from 0.785 to 0.523. A large language model</w:t>
      </w:r>
      <w:r>
        <w:t xml:space="preserve"> </w:t>
      </w:r>
      <w:r>
        <w:t xml:space="preserve">prompted zero-shot with the taxonomy reaches 0.654 across cities, significantly above both trained models</w:t>
      </w:r>
      <w:r>
        <w:t xml:space="preserve"> </w:t>
      </w:r>
      <w:r>
        <w:t xml:space="preserve">(paired bootstrap, non-overlapping CIs), while still below in-domain performance. We then ask what the gap</w:t>
      </w:r>
      <w:r>
        <w:t xml:space="preserve"> </w:t>
      </w:r>
      <w:r>
        <w:t xml:space="preserve">measures. An independent LLM judge, blind to model and to the city label, finds that 14.3% of city labels are</w:t>
      </w:r>
      <w:r>
        <w:t xml:space="preserve"> </w:t>
      </w:r>
      <w:r>
        <w:t xml:space="preserve">not supported by the text and that a third of requests admit more than one valid label. Under a</w:t>
      </w:r>
      <w:r>
        <w:t xml:space="preserve"> </w:t>
      </w:r>
      <w:r>
        <w:t xml:space="preserve">defensibility-adjusted metric that credits any judge-acceptable label, cross-city accuracy rises sharply</w:t>
      </w:r>
      <w:r>
        <w:t xml:space="preserve"> </w:t>
      </w:r>
      <w:r>
        <w:t xml:space="preserve">(the LLM from 0.797 to 0.981), which shows that most cross-jurisdiction "errors" are defensible alternatives</w:t>
      </w:r>
      <w:r>
        <w:t xml:space="preserve"> </w:t>
      </w:r>
      <w:r>
        <w:t xml:space="preserve">rather than model failures. A naive multi-city 311 benchmark measures taxonomy non-comparability and label</w:t>
      </w:r>
      <w:r>
        <w:t xml:space="preserve"> </w:t>
      </w:r>
      <w:r>
        <w:t xml:space="preserve">noise as much as generalization, and separating these components is the benchmark's central contribution.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rPr>
          <w:vertAlign w:val="superscript"/>
        </w:rPr>
        <w:t xml:space="preserve">,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The first public multi-city free-text 311 corpus (seven cities, ~156k citizen narratives), together with</w:t>
      </w:r>
      <w:r>
        <w:t xml:space="preserve"> </w:t>
      </w:r>
      <w:r>
        <w:t xml:space="preserve">a verified survey of which municipal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decomposition of that gap using a blind LLM judge: a measured city-label-noise rate and a</w:t>
      </w:r>
      <w:r>
        <w:t xml:space="preserve"> </w:t>
      </w:r>
      <w:r>
        <w:t xml:space="preserve">defensibility-adjusted metric that reveal most cross-city errors to be defensible 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 noise</w:t>
      </w:r>
      <w:r>
        <w:t xml:space="preserve"> </w:t>
      </w:r>
      <w:r>
        <w:t xml:space="preserve">alongside genuine domain shift, and this paper separates the components on the same population.</w:t>
      </w:r>
    </w:p>
    <w:bookmarkEnd w:id="22"/>
    <w:bookmarkStart w:id="28" w:name="related-work"/>
    <w:p>
      <w:pPr>
        <w:pStyle w:val="Heading2"/>
      </w:pPr>
      <w:r>
        <w:t xml:space="preserve">2. Related work</w:t>
      </w:r>
    </w:p>
    <w:bookmarkStart w:id="23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no</w:t>
      </w:r>
      <w:r>
        <w:t xml:space="preserve"> </w:t>
      </w:r>
      <w:r>
        <w:t xml:space="preserve">peer-reviewed US-city transformer-on-311 routing benchmark exists, which is the gap we fill.</w:t>
      </w:r>
    </w:p>
    <w:bookmarkEnd w:id="23"/>
    <w:bookmarkStart w:id="24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4"/>
    <w:bookmarkStart w:id="25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decomposition applies this lens to cross-jurisdiction</w:t>
      </w:r>
      <w:r>
        <w:t xml:space="preserve"> </w:t>
      </w:r>
      <w:r>
        <w:t xml:space="preserve">transfer.</w:t>
      </w:r>
    </w:p>
    <w:bookmarkEnd w:id="25"/>
    <w:bookmarkStart w:id="26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6"/>
    <w:bookmarkStart w:id="27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7"/>
    <w:bookmarkEnd w:id="28"/>
    <w:bookmarkStart w:id="32" w:name="corpus-construction"/>
    <w:p>
      <w:pPr>
        <w:pStyle w:val="Heading2"/>
      </w:pPr>
      <w:r>
        <w:t xml:space="preserve">3. Corpus construction</w:t>
      </w:r>
    </w:p>
    <w:bookmarkStart w:id="29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29"/>
    <w:bookmarkStart w:id="30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0"/>
    <w:bookmarkStart w:id="31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signal. The canonical benchmark uses the filtered subset.</w:t>
      </w:r>
      <w:r>
        <w:t xml:space="preserve"> </w:t>
      </w:r>
      <w:r>
        <w:t xml:space="preserve">Requests also contain street addresses and occasional phone numbers, which we address in Section 10.</w:t>
      </w:r>
    </w:p>
    <w:bookmarkEnd w:id="31"/>
    <w:bookmarkEnd w:id="32"/>
    <w:bookmarkStart w:id="33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distinct native categories, from Chicago-style broad groups to San Francisco's</w:t>
      </w:r>
      <w:r>
        <w:t xml:space="preserve"> </w:t>
      </w:r>
      <w:r>
        <w:t xml:space="preserve">176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3"/>
    <w:bookmarkStart w:id="34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Because per-city class sets differ, we report</w:t>
      </w:r>
      <w:r>
        <w:t xml:space="preserve"> </w:t>
      </w:r>
      <w:r>
        <w:t xml:space="preserve">the pooled metric as primary and the unweighted mean over cities as secondary, each also with San Francisco</w:t>
      </w:r>
      <w:r>
        <w:t xml:space="preserve"> </w:t>
      </w:r>
      <w:r>
        <w:t xml:space="preserve">excluded (Section 9).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4"/>
    <w:bookmarkStart w:id="41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6" name="Picture"/>
            <a:graphic>
              <a:graphicData uri="http://schemas.openxmlformats.org/drawingml/2006/picture">
                <pic:pic>
                  <pic:nvPicPr>
                    <pic:cNvPr descr="fig_transf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roughly</w:t>
      </w:r>
      <w:r>
        <w:t xml:space="preserve"> </w:t>
      </w:r>
      <w:r>
        <w:t xml:space="preserve">halve when moving to an unseen city. The zero-shot LLM, which trains on no city, transfers best across</w:t>
      </w:r>
      <w:r>
        <w:t xml:space="preserve"> </w:t>
      </w:r>
      <w:r>
        <w:t xml:space="preserve">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0.447), because pooling weights the common classes; both aggregations are released.</w:t>
      </w:r>
    </w:p>
    <w:p>
      <w:pPr>
        <w:pStyle w:val="BodyText"/>
        <w:jc w:val="both"/>
      </w:pPr>
      <w:r>
        <w:t xml:space="preserve">Two results are stable across models. Crossing city boundaries roughly halves macro-F1, from 0.827 to 0.558</w:t>
      </w:r>
      <w:r>
        <w:t xml:space="preserve"> </w:t>
      </w:r>
      <w:r>
        <w:t xml:space="preserve">for DistilBERT and from 0.785 to 0.523 for TF-IDF, and in-city exceeds cross-city for every held-out city.</w:t>
      </w:r>
      <w:r>
        <w:t xml:space="preserve"> </w:t>
      </w:r>
      <w:r>
        <w:t xml:space="preserve">The cross-city ordering, LLM zero-shot (0.654) above DistilBERT (0.558) above TF-IDF (0.523), is significant:</w:t>
      </w:r>
      <w:r>
        <w:t xml:space="preserve"> </w:t>
      </w:r>
      <w:r>
        <w:t xml:space="preserve">paired bootstrap over the shared test examples gives a mean difference of +0.096 for LLM over DistilBERT and</w:t>
      </w:r>
      <w:r>
        <w:t xml:space="preserve"> </w:t>
      </w:r>
      <w:r>
        <w:t xml:space="preserve">+0.131 for LLM over TF-IDF, both with 95% intervals excluding zero. Giving a model the target label space in</w:t>
      </w:r>
      <w:r>
        <w:t xml:space="preserve"> </w:t>
      </w:r>
      <w:r>
        <w:t xml:space="preserve">context helps where a fixed label space does not, without closing the gap.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39" name="Picture"/>
            <a:graphic>
              <a:graphicData uri="http://schemas.openxmlformats.org/drawingml/2006/picture">
                <pic:pic>
                  <pic:nvPicPr>
                    <pic:cNvPr descr="fig_percit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1"/>
    <w:bookmarkStart w:id="48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halving of performance is a strong claim, so we ask how much of the gap is genuine model failure. An</w:t>
      </w:r>
      <w:r>
        <w:t xml:space="preserve"> </w:t>
      </w:r>
      <w:r>
        <w:t xml:space="preserve">independent LLM judge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That is a measured label-noise rate on the same population the gap is computed on, and it caps</w:t>
      </w:r>
      <w:r>
        <w:t xml:space="preserve"> </w:t>
      </w:r>
      <w:r>
        <w:t xml:space="preserve">how well any text model can match the city labels.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3" name="Picture"/>
            <a:graphic>
              <a:graphicData uri="http://schemas.openxmlformats.org/drawingml/2006/picture">
                <pic:pic>
                  <pic:nvPicPr>
                    <pic:cNvPr descr="fig_defensibil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Most cross-city "errors" are defensible</w:t>
      </w:r>
      <w:r>
        <w:t xml:space="preserve"> </w:t>
      </w:r>
      <w:r>
        <w:t xml:space="preserve">alternatives.</w:t>
      </w:r>
    </w:p>
    <w:p>
      <w:pPr>
        <w:pStyle w:val="BodyText"/>
        <w:jc w:val="both"/>
      </w:pPr>
      <w:r>
        <w:t xml:space="preserve">Under a defensibility-adjusted metric that counts a prediction correct when it matches the city label or</w:t>
      </w:r>
      <w:r>
        <w:t xml:space="preserve"> </w:t>
      </w:r>
      <w:r>
        <w:t xml:space="preserve">any judge-acceptable label, cross-city accuracy rises sharply: the LLM from 0.797 to 0.981, DistilBERT LOCO</w:t>
      </w:r>
      <w:r>
        <w:t xml:space="preserve"> </w:t>
      </w:r>
      <w:r>
        <w:t xml:space="preserve">from 0.748 to 0.864, and TF-IDF LOCO from 0.688 to 0.816. Nearly all of the zero-shot LLM's cross-city</w:t>
      </w:r>
      <w:r>
        <w:t xml:space="preserve"> </w:t>
      </w:r>
      <w:r>
        <w:t xml:space="preserve">disagreements are defensible readings of the text, not mistakes. The measured cross-jurisdiction gap therefore</w:t>
      </w:r>
      <w:r>
        <w:t xml:space="preserve"> </w:t>
      </w:r>
      <w:r>
        <w:t xml:space="preserve">conflates three effects: genuine domain shift between cities, non-comparability of the harmonized taxonomy at</w:t>
      </w:r>
      <w:r>
        <w:t xml:space="preserve"> </w:t>
      </w:r>
      <w:r>
        <w:t xml:space="preserve">its boundaries, and label noise. The confusion structure identifies where the boundary effects concentrate.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6" name="Picture"/>
            <a:graphic>
              <a:graphicData uri="http://schemas.openxmlformats.org/drawingml/2006/picture">
                <pic:pic>
                  <pic:nvPicPr>
                    <pic:cNvPr descr="fig_confu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8"/>
    <w:bookmarkStart w:id="49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 city that adopts a model trained</w:t>
      </w:r>
      <w:r>
        <w:t xml:space="preserve"> </w:t>
      </w:r>
      <w:r>
        <w:t xml:space="preserve">on other cities should expect roughly half the in-domain macro-F1, driven substantially by taxonomy</w:t>
      </w:r>
      <w:r>
        <w:t xml:space="preserve"> </w:t>
      </w:r>
      <w:r>
        <w:t xml:space="preserve">mismatch rather than by the model. A zero-shot LLM with the target city's taxonomy in the prompt is a</w:t>
      </w:r>
      <w:r>
        <w:t xml:space="preserve"> </w:t>
      </w:r>
      <w:r>
        <w:t xml:space="preserve">stronger starting point than a transferred fine-tuned model, and needs no target labels. For benchmark</w:t>
      </w:r>
      <w:r>
        <w:t xml:space="preserve"> </w:t>
      </w:r>
      <w:r>
        <w:t xml:space="preserve">builders, the broader lesson is that harmonizing labels across sources imports noise and non-comparability</w:t>
      </w:r>
      <w:r>
        <w:t xml:space="preserve"> </w:t>
      </w:r>
      <w:r>
        <w:t xml:space="preserve">that a single accuracy number hides; a defensibility-adjusted metric grounded in an explicit acceptable-set</w:t>
      </w:r>
      <w:r>
        <w:t xml:space="preserve"> </w:t>
      </w:r>
      <w:r>
        <w:t xml:space="preserve">judgment is a reusable correction for any administrative-text benchmark assembled this way.</w:t>
      </w:r>
    </w:p>
    <w:bookmarkEnd w:id="49"/>
    <w:bookmarkStart w:id="50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three source platforms are confounded with city identity, so register shift and jurisdiction</w:t>
      </w:r>
      <w:r>
        <w:t xml:space="preserve"> </w:t>
      </w:r>
      <w:r>
        <w:t xml:space="preserve">shift are not fully separable; the same-platform Richmond and Auburn pair is the natural cell for isolating</w:t>
      </w:r>
      <w:r>
        <w:t xml:space="preserve"> </w:t>
      </w:r>
      <w:r>
        <w:t xml:space="preserve">this and is 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0"/>
    <w:bookmarkStart w:id="51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and applies address scrubbing, the reporting cities'</w:t>
      </w:r>
      <w:r>
        <w:t xml:space="preserve"> </w:t>
      </w:r>
      <w:r>
        <w:t xml:space="preserve">open-data licenses are listed per source, and we distribute derived, harmonized text for research use rather</w:t>
      </w:r>
      <w:r>
        <w:t xml:space="preserve"> </w:t>
      </w:r>
      <w:r>
        <w:t xml:space="preserve">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1"/>
    <w:bookmarkStart w:id="52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0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followed by the</w:t>
      </w:r>
      <w:r>
        <w:t xml:space="preserve"> </w:t>
      </w:r>
      <w:r>
        <w:t xml:space="preserve">three evaluation arms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, which regenerates every number in this paper from</w:t>
      </w:r>
      <w:r>
        <w:t xml:space="preserve"> </w:t>
      </w:r>
      <w:r>
        <w:t xml:space="preserve">the released predictions.</w:t>
      </w:r>
    </w:p>
    <w:bookmarkEnd w:id="52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half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3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3"/>
    </w:p>
    <w:p>
      <w:pPr>
        <w:pStyle w:val="Compact"/>
        <w:numPr>
          <w:ilvl w:val="0"/>
          <w:numId w:val="1002"/>
        </w:numPr>
      </w:pPr>
      <w:bookmarkStart w:id="54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3"/>
      <w:r>
        <w:t xml:space="preserve">Sukel, M., Rudinac, S., &amp; Worring, M. (2019). Multimodal Classification of Urban Micro-Events. arXiv:1904.13349.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6"/>
      <w:r>
        <w:t xml:space="preserve">Yuan, X., et al. (2023). Out-of-Distribution Generalization in Text Classification: Past, Present, and Future. arXiv:2305.14104.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 [verify author list/year]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3"/>
      <w:r>
        <w:t xml:space="preserve">Kontokosta, C. E., &amp; Hong, B. (2017). Equity in 311 Reporting: Socio-Spatial Differentials in the Propensity to Complain. arXiv:1710.02452.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4"/>
      <w:r>
        <w:t xml:space="preserve">Wang, L., et al. (2017). Structure of 311 Service Requests as a Signature of Urban Location. arXiv:1611.06660. (See [2].)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per-example predictions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Citations marked "verify" await bibliographic validation.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42" Type="http://schemas.openxmlformats.org/officeDocument/2006/relationships/image" Target="media/rId42.png"/><Relationship Id="rId38" Type="http://schemas.openxmlformats.org/officeDocument/2006/relationships/image" Target="media/rId38.png"/><Relationship Id="rId35" Type="http://schemas.openxmlformats.org/officeDocument/2006/relationships/image" Target="media/rId35.png"/><Relationship Id="rId20" Type="http://schemas.openxmlformats.org/officeDocument/2006/relationships/hyperlink" Target="https://github.com/ApartsinProjects/311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ApartsinProjects/3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Multi-City Free-Text Benchmark for 311 Service-Request Classification and Cross-Jurisdiction Transfer</dc:title>
  <dc:creator/>
  <dc:language>en</dc:language>
  <cp:keywords/>
  <dcterms:created xsi:type="dcterms:W3CDTF">2026-08-29T20:10:41Z</dcterms:created>
  <dcterms:modified xsi:type="dcterms:W3CDTF">2026-08-29T20:10:41Z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