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69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splits, and we</w:t>
      </w:r>
      <w:r>
        <w:t xml:space="preserve"> </w:t>
      </w:r>
      <w:r>
        <w:t xml:space="preserve">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. We treat each city as a domain whose taxonomy</w:t>
      </w:r>
      <w:r>
        <w:t xml:space="preserve"> </w:t>
      </w:r>
      <w:r>
        <w:t xml:space="preserve">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Administrative-code</w:t>
      </w:r>
      <w:r>
        <w:t xml:space="preserve"> </w:t>
      </w:r>
      <w:r>
        <w:t xml:space="preserve">harmonization, 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r>
        <w:t xml:space="preserve">, is a direct analogue: short text</w:t>
      </w:r>
      <w:r>
        <w:t xml:space="preserve"> </w:t>
      </w:r>
      <w:r>
        <w:t xml:space="preserve">mapped to a contested 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3" w:name="corpus-construction"/>
    <w:p>
      <w:pPr>
        <w:pStyle w:val="Heading2"/>
      </w:pPr>
      <w:r>
        <w:t xml:space="preserve">3. Corpus construction</w:t>
      </w:r>
    </w:p>
    <w:bookmarkStart w:id="30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0"/>
    <w:bookmarkStart w:id="31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1"/>
    <w:bookmarkStart w:id="32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2"/>
    <w:bookmarkEnd w:id="33"/>
    <w:bookmarkStart w:id="34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4"/>
    <w:bookmarkStart w:id="35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Hyperparameters and the verbatim prompt are released with the code.</w:t>
      </w:r>
    </w:p>
    <w:bookmarkEnd w:id="35"/>
    <w:bookmarkStart w:id="4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7" name="Picture"/>
            <a:graphic>
              <a:graphicData uri="http://schemas.openxmlformats.org/drawingml/2006/picture">
                <pic:pic>
                  <pic:nvPicPr>
                    <pic:cNvPr descr="fig_transf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0" name="Picture"/>
            <a:graphic>
              <a:graphicData uri="http://schemas.openxmlformats.org/drawingml/2006/picture">
                <pic:pic>
                  <pic:nvPicPr>
                    <pic:cNvPr descr="fig_perc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bookmarkEnd w:id="42"/>
    <w:bookmarkStart w:id="4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4" name="Picture"/>
            <a:graphic>
              <a:graphicData uri="http://schemas.openxmlformats.org/drawingml/2006/picture">
                <pic:pic>
                  <pic:nvPicPr>
                    <pic:cNvPr descr="fig_defensibilit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3):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That the LLM gains most under an LLM judge</w:t>
      </w:r>
      <w:r>
        <w:t xml:space="preserve"> </w:t>
      </w:r>
      <w:r>
        <w:t xml:space="preserve">of the same model family is expected, and we treat the judge as an automated approximation pending human</w:t>
      </w:r>
      <w:r>
        <w:t xml:space="preserve"> </w:t>
      </w:r>
      <w:r>
        <w:t xml:space="preserve">validation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47" name="Picture"/>
            <a:graphic>
              <a:graphicData uri="http://schemas.openxmlformats.org/drawingml/2006/picture">
                <pic:pic>
                  <pic:nvPicPr>
                    <pic:cNvPr descr="fig_confus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49"/>
    <w:bookmarkStart w:id="5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50"/>
    <w:bookmarkStart w:id="5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The judge and the zero-shot arm share a model family</w:t>
      </w:r>
      <w:r>
        <w:t xml:space="preserve"> </w:t>
      </w:r>
      <w:r>
        <w:t xml:space="preserve">(gpt-4o-mini), which could inflate the LLM's lenient scores relative to the trained models, and the human-</w:t>
      </w:r>
      <w:r>
        <w:t xml:space="preserve"> </w:t>
      </w:r>
      <w:r>
        <w:t xml:space="preserve">validation subset above also addresses this.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1"/>
    <w:bookmarkStart w:id="5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2"/>
    <w:bookmarkStart w:id="5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</w:t>
      </w:r>
    </w:p>
    <w:bookmarkEnd w:id="53"/>
    <w:bookmarkStart w:id="68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67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4"/>
    </w:p>
    <w:p>
      <w:pPr>
        <w:pStyle w:val="Compact"/>
        <w:numPr>
          <w:ilvl w:val="0"/>
          <w:numId w:val="1002"/>
        </w:numPr>
      </w:pPr>
      <w:bookmarkStart w:id="5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5"/>
    </w:p>
    <w:p>
      <w:pPr>
        <w:pStyle w:val="Compact"/>
        <w:numPr>
          <w:ilvl w:val="0"/>
          <w:numId w:val="1002"/>
        </w:numPr>
      </w:pPr>
      <w:bookmarkStart w:id="56" w:name="r3"/>
      <w:r>
        <w:t xml:space="preserve">Sukel, M., Rudinac, S., &amp; Worring, M. (2019). Multimodal Classification of Urban Micro-Events. arXiv:1904.13349.</w:t>
      </w:r>
      <w:bookmarkEnd w:id="56"/>
    </w:p>
    <w:p>
      <w:pPr>
        <w:pStyle w:val="Compact"/>
        <w:numPr>
          <w:ilvl w:val="0"/>
          <w:numId w:val="1002"/>
        </w:numPr>
      </w:pPr>
      <w:bookmarkStart w:id="5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57"/>
    </w:p>
    <w:p>
      <w:pPr>
        <w:pStyle w:val="Compact"/>
        <w:numPr>
          <w:ilvl w:val="0"/>
          <w:numId w:val="1002"/>
        </w:numPr>
      </w:pPr>
      <w:bookmarkStart w:id="5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6"/>
      <w:r>
        <w:t xml:space="preserve">Yuan, X., et al. (2023). Out-of-Distribution Generalization in Text Classification: Past, Present, and Future. arXiv:2305.14104.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13"/>
      <w:r>
        <w:t xml:space="preserve">Kontokosta, C. E., &amp; Hong, B. (2017). Equity in 311 Reporting: Socio-Spatial Differentials in the Propensity to Complain. arXiv:1710.02452.</w:t>
      </w:r>
      <w:bookmarkEnd w:id="66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image" Target="media/rId46.png"/><Relationship Id="rId43" Type="http://schemas.openxmlformats.org/officeDocument/2006/relationships/image" Target="media/rId43.png"/><Relationship Id="rId39" Type="http://schemas.openxmlformats.org/officeDocument/2006/relationships/image" Target="media/rId39.png"/><Relationship Id="rId36" Type="http://schemas.openxmlformats.org/officeDocument/2006/relationships/image" Target="media/rId36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2026-08-30T04:40:50Z</dcterms:created>
  <dcterms:modified xsi:type="dcterms:W3CDTF">2026-08-30T04:40:50Z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