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91" w:name="Xe4a09554b6d7391971fc39a094d1fcd89a90d67"/>
    <w:p>
      <w:pPr>
        <w:pStyle w:val="Heading1"/>
      </w:pPr>
      <w:r>
        <w:t xml:space="preserve">MC311: A Multi-City Free-Text Benchmark for Cross-Jurisdiction 311 Classification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multi-city free-text 311 benchmark</w:t>
      </w:r>
      <w:r>
        <w:t xml:space="preserve"> </w:t>
      </w:r>
      <w:r>
        <w:t xml:space="preserve">exists. We build MC311, to our knowledge the first public 311 free-text benchmark spanning more than two US</w:t>
      </w:r>
      <w:r>
        <w:t xml:space="preserve"> </w:t>
      </w:r>
      <w:r>
        <w:t xml:space="preserve">cities: about 156,000 citizen narratives from seven cities, with each city's native taxonomy (545 native</w:t>
      </w:r>
      <w:r>
        <w:t xml:space="preserve"> </w:t>
      </w:r>
      <w:r>
        <w:t xml:space="preserve">categories) mapped into a shared 14-class civic ontology through an auditable rule set. Every model is scored on</w:t>
      </w:r>
      <w:r>
        <w:t xml:space="preserve"> </w:t>
      </w:r>
      <w:r>
        <w:t xml:space="preserve">one frozen test set of 3,502 requests. Crossing a</w:t>
      </w:r>
      <w:r>
        <w:t xml:space="preserve"> </w:t>
      </w:r>
      <w:r>
        <w:t xml:space="preserve">city boundary costs roughly a third of pooled macro-F1: fine-tuned DistilBERT drops from 0.826 in-city to 0.557</w:t>
      </w:r>
      <w:r>
        <w:t xml:space="preserve"> </w:t>
      </w:r>
      <w:r>
        <w:t xml:space="preserve">across cities (95% CI [0.54, 0.58]), while a language model prompted zero-shot with the taxonomy reaches 0.655,</w:t>
      </w:r>
      <w:r>
        <w:t xml:space="preserve"> </w:t>
      </w:r>
      <w:r>
        <w:t xml:space="preserve">significantly above both trained models. We then ask what this gap measures. Much of it is defensible: an LLM</w:t>
      </w:r>
      <w:r>
        <w:t xml:space="preserve"> </w:t>
      </w:r>
      <w:r>
        <w:t xml:space="preserve">judge blind to the model and to the city label finds that 14.2% of city labels are not entailed by the text and</w:t>
      </w:r>
      <w:r>
        <w:t xml:space="preserve"> </w:t>
      </w:r>
      <w:r>
        <w:t xml:space="preserve">that a third of requests admit more than one valid label. Crediting any judge-acceptable label raises cross-city</w:t>
      </w:r>
      <w:r>
        <w:t xml:space="preserve"> </w:t>
      </w:r>
      <w:r>
        <w:t xml:space="preserve">strict accuracy for every model (for the LLM, from 0.797 to 0.981), against a floor where a random label is</w:t>
      </w:r>
      <w:r>
        <w:t xml:space="preserve"> </w:t>
      </w:r>
      <w:r>
        <w:t xml:space="preserve">judge-accepted only 9.8% of the time, and an independent judge from a different model family reproduces it</w:t>
      </w:r>
      <w:r>
        <w:t xml:space="preserve"> </w:t>
      </w:r>
      <w:r>
        <w:t xml:space="preserve">(0.964). The residual trained-model shortfall is concentrated in rare, city-idiosyncratic classes where a</w:t>
      </w:r>
      <w:r>
        <w:t xml:space="preserve"> </w:t>
      </w:r>
      <w:r>
        <w:t xml:space="preserve">fixed label space collapses to zero cross-city F1 while label semantics in the prompt do not. MC311 makes</w:t>
      </w:r>
      <w:r>
        <w:t xml:space="preserve"> </w:t>
      </w:r>
      <w:r>
        <w:t xml:space="preserve">visible what strict single-label evaluation hides: requests admitting multiple defensible labels, and city</w:t>
      </w:r>
      <w:r>
        <w:t xml:space="preserve"> </w:t>
      </w:r>
      <w:r>
        <w:t xml:space="preserve">labels not inferable from the text. Human validation of these judgments is the natural next step.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MC311, a public multi-city free-text 311 corpus (seven cities, ~156k citizen narratives) that, to our</w:t>
      </w:r>
      <w:r>
        <w:t xml:space="preserve"> </w:t>
      </w:r>
      <w:r>
        <w:t xml:space="preserve">knowledge, is the first to span more than two US municipalities, together with a verified survey of which</w:t>
      </w:r>
      <w:r>
        <w:t xml:space="preserve"> </w:t>
      </w:r>
      <w:r>
        <w:t xml:space="preserve">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transfer, with the trained-model shortfall</w:t>
      </w:r>
      <w:r>
        <w:t xml:space="preserve"> </w:t>
      </w:r>
      <w:r>
        <w:t xml:space="preserve">concentrated in rare, city-idiosyncratic classes and the per-pair gap correlating with inter-city vocabulary</w:t>
      </w:r>
      <w:r>
        <w:t xml:space="preserve"> </w:t>
      </w:r>
      <w:r>
        <w:t xml:space="preserve">divergence.</w:t>
      </w:r>
    </w:p>
    <w:p>
      <w:pPr>
        <w:pStyle w:val="Compact"/>
        <w:numPr>
          <w:ilvl w:val="0"/>
          <w:numId w:val="1001"/>
        </w:numPr>
      </w:pPr>
      <w:r>
        <w:t xml:space="preserve">A defensibility-adjusted evaluation using two independent blind LLM judges: a measured rate of</w:t>
      </w:r>
      <w:r>
        <w:t xml:space="preserve"> </w:t>
      </w:r>
      <w:r>
        <w:t xml:space="preserve">textually-unsupported city labels, discriminant floors that show the metric is not vacuously generous, and an</w:t>
      </w:r>
      <w:r>
        <w:t xml:space="preserve"> </w:t>
      </w:r>
      <w:r>
        <w:t xml:space="preserve">audit that caught real taxonomy-mapping errors in the corpus itself.</w:t>
      </w:r>
    </w:p>
    <w:p>
      <w:pPr>
        <w:pStyle w:val="FirstParagraph"/>
      </w:pPr>
      <w:r>
        <w:t xml:space="preserve">The reframing is the point. A multi-city 311 benchmark measures taxonomy non-comparability and label</w:t>
      </w:r>
      <w:r>
        <w:t xml:space="preserve"> </w:t>
      </w:r>
      <w:r>
        <w:t xml:space="preserve">ambiguity alongside genuine domain shift, and this paper makes these effects visible on the same population.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splits. Nalchigar and Fox</w:t>
      </w:r>
      <w:r>
        <w:t xml:space="preserve"> </w:t>
      </w:r>
      <w:r>
        <w:t xml:space="preserve">build a 311 reference ontology to align service codes across cities</w:t>
      </w:r>
      <w:r>
        <w:t xml:space="preserve"> </w:t>
      </w:r>
      <w:hyperlink w:anchor="r18">
        <w:r>
          <w:rPr>
            <w:rStyle w:val="Hyperlink"/>
            <w:vertAlign w:val="superscript"/>
          </w:rPr>
          <w:t xml:space="preserve">[18]</w:t>
        </w:r>
      </w:hyperlink>
      <w:r>
        <w:t xml:space="preserve">, the</w:t>
      </w:r>
      <w:r>
        <w:t xml:space="preserve"> </w:t>
      </w:r>
      <w:r>
        <w:t xml:space="preserve">closest precedent to our harmonization, but release no public benchmark or evaluation splits, and White and</w:t>
      </w:r>
      <w:r>
        <w:t xml:space="preserve"> </w:t>
      </w:r>
      <w:r>
        <w:t xml:space="preserve">Trump caution that 311 reporting is a noisy, biased signal of citizen need</w:t>
      </w:r>
      <w:r>
        <w:t xml:space="preserve"> </w:t>
      </w:r>
      <w:hyperlink w:anchor="r24">
        <w:r>
          <w:rPr>
            <w:rStyle w:val="Hyperlink"/>
            <w:vertAlign w:val="superscript"/>
          </w:rPr>
          <w:t xml:space="preserve">[24]</w:t>
        </w:r>
      </w:hyperlink>
      <w:r>
        <w:t xml:space="preserve">.</w:t>
      </w:r>
      <w:r>
        <w:t xml:space="preserve"> </w:t>
      </w:r>
      <w:r>
        <w:t xml:space="preserve">We 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; surveys of NLP domain adaptation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 </w:t>
      </w:r>
      <w:r>
        <w:t xml:space="preserve">and the strong-baseline lessons of DomainBed</w:t>
      </w:r>
      <w:r>
        <w:t xml:space="preserve"> </w:t>
      </w:r>
      <w:hyperlink w:anchor="r21">
        <w:r>
          <w:rPr>
            <w:rStyle w:val="Hyperlink"/>
            <w:vertAlign w:val="superscript"/>
          </w:rPr>
          <w:t xml:space="preserve">[21]</w:t>
        </w:r>
      </w:hyperlink>
      <w:r>
        <w:t xml:space="preserve"> </w:t>
      </w:r>
      <w:r>
        <w:t xml:space="preserve">inform our setup. We treat each city as a domain whose taxonomy 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 parallel</w:t>
      </w:r>
      <w:r>
        <w:t xml:space="preserve"> </w:t>
      </w:r>
      <w:r>
        <w:t xml:space="preserve">line in perspectivist NLP argues that human label variation is often legitimate rather than error, and that</w:t>
      </w:r>
      <w:r>
        <w:t xml:space="preserve"> </w:t>
      </w:r>
      <w:r>
        <w:t xml:space="preserve">evaluation should credit multiple valid labels</w:t>
      </w:r>
      <w:r>
        <w:t xml:space="preserve"> </w:t>
      </w:r>
      <w:hyperlink w:anchor="r15">
        <w:r>
          <w:rPr>
            <w:rStyle w:val="Hyperlink"/>
            <w:vertAlign w:val="superscript"/>
          </w:rPr>
          <w:t xml:space="preserve">[15]</w:t>
        </w:r>
      </w:hyperlink>
      <w:r>
        <w:rPr>
          <w:vertAlign w:val="superscript"/>
        </w:rPr>
        <w:t xml:space="preserve">,</w:t>
      </w:r>
      <w:hyperlink w:anchor="r16">
        <w:r>
          <w:rPr>
            <w:rStyle w:val="Hyperlink"/>
            <w:vertAlign w:val="superscript"/>
          </w:rPr>
          <w:t xml:space="preserve">[16]</w:t>
        </w:r>
      </w:hyperlink>
      <w:r>
        <w:rPr>
          <w:vertAlign w:val="superscript"/>
        </w:rPr>
        <w:t xml:space="preserve">,</w:t>
      </w:r>
      <w:hyperlink w:anchor="r17">
        <w:r>
          <w:rPr>
            <w:rStyle w:val="Hyperlink"/>
            <w:vertAlign w:val="superscript"/>
          </w:rPr>
          <w:t xml:space="preserve">[17]</w:t>
        </w:r>
      </w:hyperlink>
      <w:r>
        <w:rPr>
          <w:vertAlign w:val="superscript"/>
        </w:rPr>
        <w:t xml:space="preserve">,</w:t>
      </w:r>
      <w:hyperlink w:anchor="r23">
        <w:r>
          <w:rPr>
            <w:rStyle w:val="Hyperlink"/>
            <w:vertAlign w:val="superscript"/>
          </w:rPr>
          <w:t xml:space="preserve">[23]</w:t>
        </w:r>
      </w:hyperlink>
      <w:r>
        <w:t xml:space="preserve">;</w:t>
      </w:r>
      <w:r>
        <w:t xml:space="preserve"> </w:t>
      </w:r>
      <w:r>
        <w:t xml:space="preserve">our acceptable-set metric is an instance of this ambiguity-aware evaluation. Administrative-code harmonization,</w:t>
      </w:r>
      <w:r>
        <w:t xml:space="preserve"> </w:t>
      </w:r>
      <w:r>
        <w:t xml:space="preserve">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hyperlink w:anchor="r20">
        <w:r>
          <w:rPr>
            <w:rStyle w:val="Hyperlink"/>
            <w:vertAlign w:val="superscript"/>
          </w:rPr>
          <w:t xml:space="preserve">,[20]</w:t>
        </w:r>
      </w:hyperlink>
      <w:r>
        <w:t xml:space="preserve"> </w:t>
      </w:r>
      <w:r>
        <w:t xml:space="preserve">and medical coding from</w:t>
      </w:r>
      <w:r>
        <w:t xml:space="preserve"> </w:t>
      </w:r>
      <w:r>
        <w:t xml:space="preserve">clinical text</w:t>
      </w:r>
      <w:r>
        <w:t xml:space="preserve"> </w:t>
      </w:r>
      <w:hyperlink w:anchor="r19">
        <w:r>
          <w:rPr>
            <w:rStyle w:val="Hyperlink"/>
            <w:vertAlign w:val="superscript"/>
          </w:rPr>
          <w:t xml:space="preserve">[19]</w:t>
        </w:r>
      </w:hyperlink>
      <w:r>
        <w:t xml:space="preserve">, is a direct analogue: short text mapped to a contested</w:t>
      </w:r>
      <w:r>
        <w:t xml:space="preserve"> </w:t>
      </w:r>
      <w:r>
        <w:t xml:space="preserve">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 Label-semantic pretraining injects label descriptions into the model</w:t>
      </w:r>
      <w:r>
        <w:t xml:space="preserve"> </w:t>
      </w:r>
      <w:hyperlink w:anchor="r22">
        <w:r>
          <w:rPr>
            <w:rStyle w:val="Hyperlink"/>
            <w:vertAlign w:val="superscript"/>
          </w:rPr>
          <w:t xml:space="preserve">[22]</w:t>
        </w:r>
      </w:hyperlink>
      <w:r>
        <w:t xml:space="preserve">,</w:t>
      </w:r>
      <w:r>
        <w:t xml:space="preserve"> </w:t>
      </w:r>
      <w:r>
        <w:t xml:space="preserve">which our sentence-transformer and NLI baselines approximate at inference time.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6" w:name="corpus-construction"/>
    <w:p>
      <w:pPr>
        <w:pStyle w:val="Heading2"/>
      </w:pPr>
      <w:r>
        <w:t xml:space="preserve">3. Corpus construction</w:t>
      </w:r>
    </w:p>
    <w:p>
      <w:pPr>
        <w:pStyle w:val="CaptionedFigure"/>
      </w:pPr>
      <w:r>
        <w:drawing>
          <wp:inline>
            <wp:extent cx="5334000" cy="698470"/>
            <wp:effectExtent b="0" l="0" r="0" t="0"/>
            <wp:docPr descr="Corpus construction pipeline" title="" id="31" name="Picture"/>
            <a:graphic>
              <a:graphicData uri="http://schemas.openxmlformats.org/drawingml/2006/picture">
                <pic:pic>
                  <pic:nvPicPr>
                    <pic:cNvPr descr="fig_corpus_flo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8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Corpus construction: from probed municipal portals to the frozen</w:t>
      </w:r>
      <w:r>
        <w:t xml:space="preserve"> </w:t>
      </w:r>
      <w:r>
        <w:t xml:space="preserve">MC311 benchmark, through free-text confirmation, harmonization, administrative-category removal, an</w:t>
      </w:r>
      <w:r>
        <w:t xml:space="preserve"> </w:t>
      </w:r>
      <w:r>
        <w:t xml:space="preserve">informativeness filter, and PII scrubbing.</w:t>
      </w:r>
    </w:p>
    <w:bookmarkStart w:id="33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</w:pPr>
      <w:r>
        <w:t xml:space="preserve">We assemble MC311 in the stages of Figure 1. The first design constraint is that genuine citizen narrative</w:t>
      </w:r>
      <w:r>
        <w:t xml:space="preserve"> </w:t>
      </w:r>
      <w:r>
        <w:t xml:space="preserve">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3"/>
    <w:bookmarkStart w:id="34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4"/>
    <w:bookmarkStart w:id="35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5"/>
    <w:bookmarkEnd w:id="36"/>
    <w:bookmarkStart w:id="40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 Figure 2 shows these boundaries empirically: the heaviest cross-city confusion concentrates on a</w:t>
      </w:r>
      <w:r>
        <w:t xml:space="preserve"> </w:t>
      </w:r>
      <w:r>
        <w:t xml:space="preserve">few neighboring pairs, with Waste and Sanitation acting as a hub (its overlap with Parking, Homelessness,</w:t>
      </w:r>
      <w:r>
        <w:t xml:space="preserve"> </w:t>
      </w:r>
      <w:r>
        <w:t xml:space="preserve">Trees, and Property reflects debris, encampment cleanups, yard waste, and property nuisance all bordering it).</w:t>
      </w:r>
    </w:p>
    <w:p>
      <w:pPr>
        <w:pStyle w:val="CaptionedFigure"/>
      </w:pPr>
      <w:r>
        <w:drawing>
          <wp:inline>
            <wp:extent cx="5334000" cy="5169030"/>
            <wp:effectExtent b="0" l="0" r="0" t="0"/>
            <wp:docPr descr="Taxonomy boundary confusion graph" title="" id="38" name="Picture"/>
            <a:graphic>
              <a:graphicData uri="http://schemas.openxmlformats.org/drawingml/2006/picture">
                <pic:pic>
                  <pic:nvPicPr>
                    <pic:cNvPr descr="fig_taxonomy_boundar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9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14 classes with the top cross-city confusion pairs as edges</w:t>
      </w:r>
      <w:r>
        <w:t xml:space="preserve"> </w:t>
      </w:r>
      <w:r>
        <w:t xml:space="preserve">(edge width proportional to DistilBERT misclassification count). Confusion concentrates on semantically</w:t>
      </w:r>
      <w:r>
        <w:t xml:space="preserve"> </w:t>
      </w:r>
      <w:r>
        <w:t xml:space="preserve">adjacent boundaries rather than spreading uniformly.</w:t>
      </w:r>
    </w:p>
    <w:bookmarkEnd w:id="40"/>
    <w:bookmarkStart w:id="41" w:name="experimental-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union of the gold and predicted labels in the pooled test set,</w:t>
      </w:r>
      <w:r>
        <w:t xml:space="preserve"> </w:t>
      </w:r>
      <w:r>
        <w:t xml:space="preserve">with 95% confidence intervals from 1,000 bootstrap resamples of the test examples. Averaging over the union</w:t>
      </w:r>
      <w:r>
        <w:t xml:space="preserve"> </w:t>
      </w:r>
      <w:r>
        <w:t xml:space="preserve">rather than the gold classes alone charges a model for predicting a label no request carries, which slightly</w:t>
      </w:r>
      <w:r>
        <w:t xml:space="preserve"> </w:t>
      </w:r>
      <w:r>
        <w:t xml:space="preserve">lowers the LLM's score (a handful of unparsed predictions add a zero-F1 class); we keep the union convention as</w:t>
      </w:r>
      <w:r>
        <w:t xml:space="preserve"> </w:t>
      </w:r>
      <w:r>
        <w:t xml:space="preserve">the conservative choice. Pooled macro-F1 concatenates all cities' test</w:t>
      </w:r>
      <w:r>
        <w:t xml:space="preserve"> </w:t>
      </w:r>
      <w:r>
        <w:t xml:space="preserve">rows and computes macro-F1 once over that union;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 Trained-model scores are stable across three</w:t>
      </w:r>
      <w:r>
        <w:t xml:space="preserve"> </w:t>
      </w:r>
      <w:r>
        <w:t xml:space="preserve">random seeds (DistilBERT in-city 0.824 ± 0.003, cross-city 0.553 ± 0.004).</w:t>
      </w:r>
    </w:p>
    <w:p>
      <w:pPr>
        <w:pStyle w:val="BodyText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As LLM ablations we also report gpt-4o (a stronger model) and a few-shot variant</w:t>
      </w:r>
      <w:r>
        <w:t xml:space="preserve"> </w:t>
      </w:r>
      <w:r>
        <w:t xml:space="preserve">that adds one labeled exemplar per class drawn from the training cities. LLM inference runs through the</w:t>
      </w:r>
      <w:r>
        <w:t xml:space="preserve"> </w:t>
      </w:r>
      <w:r>
        <w:t xml:space="preserve">provider batch APIs at half the standard token price. As additional baselines we report (iv) a fine-tuned</w:t>
      </w:r>
      <w:r>
        <w:t xml:space="preserve"> </w:t>
      </w:r>
      <w:r>
        <w:t xml:space="preserve">RoBERTa-base encoder, and two zero-shot label-semantic methods that use the class descriptions but no training:</w:t>
      </w:r>
      <w:r>
        <w:t xml:space="preserve"> </w:t>
      </w:r>
      <w:r>
        <w:t xml:space="preserve">a sentence-transformer that assigns the nearest class-description embedding, and an NLI entailment classifier.</w:t>
      </w:r>
      <w:r>
        <w:t xml:space="preserve"> </w:t>
      </w:r>
      <w:r>
        <w:t xml:space="preserve">Hyperparameters and the verbatim prompt are released with the code.</w:t>
      </w:r>
    </w:p>
    <w:bookmarkEnd w:id="41"/>
    <w:bookmarkStart w:id="5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43" name="Picture"/>
            <a:graphic>
              <a:graphicData uri="http://schemas.openxmlformats.org/drawingml/2006/picture">
                <pic:pic>
                  <pic:nvPicPr>
                    <pic:cNvPr descr="fig_transf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0.826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0.557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gpt-4o-mini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 [.67,.73]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</w:tr>
    </w:tbl>
    <w:p>
      <w:pPr>
        <w:pStyle w:val="BodyText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</w:pPr>
      <w:r>
        <w:t xml:space="preserve">Two results are stable across models. Crossing city boundaries costs roughly a third of macro-F1, from 0.826</w:t>
      </w:r>
      <w:r>
        <w:t xml:space="preserve"> </w:t>
      </w:r>
      <w:r>
        <w:t xml:space="preserve">to 0.557 for DistilBERT and from 0.784 to 0.523 for TF-IDF (Figure 3),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(0.655)</w:t>
      </w:r>
      <w:r>
        <w:t xml:space="preserve"> </w:t>
      </w:r>
      <w:r>
        <w:t xml:space="preserve">above DistilBERT (0.557) above TF-IDF (0.523), is significant: paired bootstrap over the shared test examples</w:t>
      </w:r>
      <w:r>
        <w:t xml:space="preserve"> </w:t>
      </w:r>
      <w:r>
        <w:t xml:space="preserve">gives a mean difference of +0.096 for LLM over DistilBERT and +0.131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single-source transfer (0.585, Figure 5) exceeds Richmond's leave-one-city-out score (0.477) while</w:t>
      </w:r>
      <w:r>
        <w:t xml:space="preserve"> </w:t>
      </w:r>
      <w:r>
        <w:t xml:space="preserve">Richmond-to-Auburn (0.338)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the full 7×7 single-source matrix is</w:t>
      </w:r>
      <w:r>
        <w:t xml:space="preserve"> </w:t>
      </w:r>
      <w:r>
        <w:t xml:space="preserve">Figure 5, analyzed in Section 7).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</w:pPr>
      <w:r>
        <w:t xml:space="preserve">To ask what drives the LLM's cross-jurisdiction advantage, we vary the model and the prompt. A stronger</w:t>
      </w:r>
      <w:r>
        <w:t xml:space="preserve"> </w:t>
      </w:r>
      <w:r>
        <w:t xml:space="preserve">model widens it: gpt-4o reaches 0.704, significantly above gpt-4o-mini (0.655; paired bootstrap P&gt;0.99).</w:t>
      </w:r>
      <w:r>
        <w:t xml:space="preserve"> </w:t>
      </w:r>
      <w:r>
        <w:t xml:space="preserve">Clean in-context demonstrations add a modest further gain: one representative labeled exemplar per class drawn</w:t>
      </w:r>
      <w:r>
        <w:t xml:space="preserve"> </w:t>
      </w:r>
      <w:r>
        <w:t xml:space="preserve">from the training cities raises the cross-city score to 0.673 (bootstrap mean +0.025 over zero-shot, 95% CI</w:t>
      </w:r>
      <w:r>
        <w:t xml:space="preserve"> </w:t>
      </w:r>
      <w:r>
        <w:t xml:space="preserve">[+0.001, +0.075]). The larger prompt lever is the label space itself: stripping the glosses to class names alone</w:t>
      </w:r>
      <w:r>
        <w:t xml:space="preserve"> </w:t>
      </w:r>
      <w:r>
        <w:t xml:space="preserve">lifts the score to 0.700, near gpt-4o, so most of the signal is carried by the class names rather than their</w:t>
      </w:r>
      <w:r>
        <w:t xml:space="preserve"> </w:t>
      </w:r>
      <w:r>
        <w:t xml:space="preserve">descriptions or the demonstrations. The advantage therefore comes chiefly from the target-label</w:t>
      </w:r>
      <w:r>
        <w:t xml:space="preserve"> </w:t>
      </w:r>
      <w:r>
        <w:t xml:space="preserve">semantics that the taxonomy places in the prompt, largely captured by the class names, with smaller additive</w:t>
      </w:r>
      <w:r>
        <w:t xml:space="preserve"> </w:t>
      </w:r>
      <w:r>
        <w:t xml:space="preserve">contributions from clean demonstrations and from model scale (gpt-4o). As a pipeline check, running gpt-4o-mini</w:t>
      </w:r>
      <w:r>
        <w:t xml:space="preserve"> </w:t>
      </w:r>
      <w:r>
        <w:t xml:space="preserve">through the batch API reproduces the synchronous result (0.644 versus 0.655, not significant).</w:t>
      </w:r>
    </w:p>
    <w:p>
      <w:pPr>
        <w:pStyle w:val="BodyText"/>
      </w:pPr>
      <w:r>
        <w:t xml:space="preserve">We also widen the model families. A stronger encoder does not help transfer: fine-tuned RoBERTa reaches</w:t>
      </w:r>
      <w:r>
        <w:t xml:space="preserve"> </w:t>
      </w:r>
      <w:r>
        <w:t xml:space="preserve">0.839 in-city, above DistilBERT, but only 0.519 across cities, so the gap is not a weakness of the DistilBERT</w:t>
      </w:r>
      <w:r>
        <w:t xml:space="preserve"> </w:t>
      </w:r>
      <w:r>
        <w:t xml:space="preserve">baseline. Two zero-shot label-semantic methods that receive the class descriptions but no strong reasoning, a</w:t>
      </w:r>
      <w:r>
        <w:t xml:space="preserve"> </w:t>
      </w:r>
      <w:r>
        <w:t xml:space="preserve">sentence-transformer that matches each request to the nearest class-description embedding (0.510) and an NLI</w:t>
      </w:r>
      <w:r>
        <w:t xml:space="preserve"> </w:t>
      </w:r>
      <w:r>
        <w:t xml:space="preserve">entailment classifier (0.478), land at or below the classical TF-IDF baseline and far below the LLM. Access to</w:t>
      </w:r>
      <w:r>
        <w:t xml:space="preserve"> </w:t>
      </w:r>
      <w:r>
        <w:t xml:space="preserve">label semantics is therefore necessary but not sufficient: the zero-shot LLM's advantage combines the label</w:t>
      </w:r>
      <w:r>
        <w:t xml:space="preserve"> </w:t>
      </w:r>
      <w:r>
        <w:t xml:space="preserve">semantics in its prompt with its own capability, and neither a stronger encoder nor a simple label-matching</w:t>
      </w:r>
      <w:r>
        <w:t xml:space="preserve"> </w:t>
      </w:r>
      <w:r>
        <w:t xml:space="preserve">model reproduces it.</w:t>
      </w:r>
    </w:p>
    <w:p>
      <w:pPr>
        <w:pStyle w:val="BodyText"/>
      </w:pPr>
      <w:r>
        <w:t xml:space="preserve">Decomposing the cross-city macro-F1 by class shows where the advantage lives. On the head classes the LLM</w:t>
      </w:r>
      <w:r>
        <w:t xml:space="preserve"> </w:t>
      </w:r>
      <w:r>
        <w:t xml:space="preserve">and the trained model are close: Waste and Sanitation (1,305 test requests) 0.853 for the LLM versus 0.825 for</w:t>
      </w:r>
      <w:r>
        <w:t xml:space="preserve"> </w:t>
      </w:r>
      <w:r>
        <w:t xml:space="preserve">DistilBERT across cities, Graffiti 0.927 versus 0.914, Street Lighting 0.881 versus 0.868. The separation is</w:t>
      </w:r>
      <w:r>
        <w:t xml:space="preserve"> </w:t>
      </w:r>
      <w:r>
        <w:t xml:space="preserve">concentrated in rare, city-idiosyncratic classes on which the leave-one-city-out DistilBERT collapses to zero:</w:t>
      </w:r>
      <w:r>
        <w:t xml:space="preserve"> </w:t>
      </w:r>
      <w:r>
        <w:t xml:space="preserve">Noise (12) 0.000 to 0.759, Transit (21) 0.000 to 0.500, Homelessness (176) 0.380 to 0.830, Parking (224) 0.636</w:t>
      </w:r>
      <w:r>
        <w:t xml:space="preserve"> </w:t>
      </w:r>
      <w:r>
        <w:t xml:space="preserve">to 0.773. A model trained on the other cities cannot represent a class that is thin or absent in its source</w:t>
      </w:r>
      <w:r>
        <w:t xml:space="preserve"> </w:t>
      </w:r>
      <w:r>
        <w:t xml:space="preserve">pool, whereas the class name in the prompt lets the LLM recognize it directly. The cross-jurisdiction ranking is</w:t>
      </w:r>
      <w:r>
        <w:t xml:space="preserve"> </w:t>
      </w:r>
      <w:r>
        <w:t xml:space="preserve">therefore a tail-class phenomenon, not a uniform margin.</w:t>
      </w:r>
    </w:p>
    <w:bookmarkStart w:id="51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Three checks indicate the gap is genuine domain shift rather than an artifact of the split or the taxonomy.</w:t>
      </w:r>
      <w:r>
        <w:t xml:space="preserve"> </w:t>
      </w:r>
      <w:r>
        <w:rPr>
          <w:i/>
          <w:iCs/>
        </w:rPr>
        <w:t xml:space="preserve">Deduplication:</w:t>
      </w:r>
      <w:r>
        <w:t xml:space="preserve"> </w:t>
      </w:r>
      <w:r>
        <w:t xml:space="preserve">18,265 training rows shared their exact text with a test request in the same city;</w:t>
      </w:r>
      <w:r>
        <w:t xml:space="preserve"> </w:t>
      </w:r>
      <w:r>
        <w:t xml:space="preserve">removing them, together with corpus-wide exact duplicates, barely changes the picture (DistilBERT in-city</w:t>
      </w:r>
      <w:r>
        <w:t xml:space="preserve"> </w:t>
      </w:r>
      <w:r>
        <w:t xml:space="preserve">0.818, cross-city 0.539), so the roughly one-third drop is not produced by train-test overlap.</w:t>
      </w:r>
      <w:r>
        <w:t xml:space="preserve"> </w:t>
      </w:r>
      <w:r>
        <w:rPr>
          <w:i/>
          <w:iCs/>
        </w:rPr>
        <w:t xml:space="preserve">Taxonomy</w:t>
      </w:r>
      <w:r>
        <w:rPr>
          <w:i/>
          <w:iCs/>
        </w:rPr>
        <w:t xml:space="preserve"> </w:t>
      </w:r>
      <w:r>
        <w:rPr>
          <w:i/>
          <w:iCs/>
        </w:rPr>
        <w:t xml:space="preserve">coarsening:</w:t>
      </w:r>
      <w:r>
        <w:t xml:space="preserve"> </w:t>
      </w:r>
      <w:r>
        <w:t xml:space="preserve">merging the confusable neighboring classes into an eight-class ontology recovers four to seven</w:t>
      </w:r>
      <w:r>
        <w:t xml:space="preserve"> </w:t>
      </w:r>
      <w:r>
        <w:t xml:space="preserve">macro-F1 points for the trained models (TF-IDF cross-city 0.523 to 0.590, DistilBERT 0.557 to 0.601), which</w:t>
      </w:r>
      <w:r>
        <w:t xml:space="preserve"> </w:t>
      </w:r>
      <w:r>
        <w:t xml:space="preserve">quantifies the taxonomy-boundary share of the difficulty, yet the gap to in-city persists.</w:t>
      </w:r>
      <w:r>
        <w:t xml:space="preserve"> </w:t>
      </w:r>
      <w:r>
        <w:rPr>
          <w:i/>
          <w:iCs/>
        </w:rPr>
        <w:t xml:space="preserve">Temporal split:</w:t>
      </w:r>
      <w:r>
        <w:t xml:space="preserve"> </w:t>
      </w:r>
      <w:r>
        <w:t xml:space="preserve">for all seven cities, pulling each city's records ordered by its native creation timestamp, training on the</w:t>
      </w:r>
      <w:r>
        <w:t xml:space="preserve"> </w:t>
      </w:r>
      <w:r>
        <w:t xml:space="preserve">earliest 80% of requests and testing on the latest 20% lowers in-city macro-F1 by 0.051 on average (0.740</w:t>
      </w:r>
      <w:r>
        <w:t xml:space="preserve"> </w:t>
      </w:r>
      <w:r>
        <w:t xml:space="preserve">versus 0.791 for a random split on the same rows), with the largest single-city drop 0.12 (Honolulu). This</w:t>
      </w:r>
      <w:r>
        <w:t xml:space="preserve"> </w:t>
      </w:r>
      <w:r>
        <w:t xml:space="preserve">temporal degradation is real but roughly five times smaller than the cross-jurisdiction gap, so the transfer</w:t>
      </w:r>
      <w:r>
        <w:t xml:space="preserve"> </w:t>
      </w:r>
      <w:r>
        <w:t xml:space="preserve">gap is not an artifact of random splitting.</w:t>
      </w:r>
      <w:r>
        <w:t xml:space="preserve"> </w:t>
      </w:r>
      <w:r>
        <w:rPr>
          <w:i/>
          <w:iCs/>
        </w:rPr>
        <w:t xml:space="preserve">Model family and input length:</w:t>
      </w:r>
      <w:r>
        <w:t xml:space="preserve"> </w:t>
      </w:r>
      <w:r>
        <w:t xml:space="preserve">a stronger encoder and simple label-semantic classifiers,</w:t>
      </w:r>
      <w:r>
        <w:t xml:space="preserve"> </w:t>
      </w:r>
      <w:r>
        <w:t xml:space="preserve">above, do not close the gap either, and doubling the encoder's input to 128 tokens does not help (cross-city</w:t>
      </w:r>
      <w:r>
        <w:t xml:space="preserve"> </w:t>
      </w:r>
      <w:r>
        <w:t xml:space="preserve">0.537 versus 0.557). The gap is not specific to one architecture, split, taxonomy granularity, or sequence</w:t>
      </w:r>
      <w:r>
        <w:t xml:space="preserve"> </w:t>
      </w:r>
      <w:r>
        <w:t xml:space="preserve">length.</w:t>
      </w:r>
    </w:p>
    <w:p>
      <w:pPr>
        <w:pStyle w:val="BodyText"/>
      </w:pPr>
      <w:r>
        <w:t xml:space="preserve">Performance varies sharply across held-out cities (Figure 4),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6" name="Picture"/>
            <a:graphic>
              <a:graphicData uri="http://schemas.openxmlformats.org/drawingml/2006/picture">
                <pic:pic>
                  <pic:nvPicPr>
                    <pic:cNvPr descr="fig_perc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p>
      <w:pPr>
        <w:pStyle w:val="CaptionedFigure"/>
      </w:pPr>
      <w:r>
        <w:drawing>
          <wp:inline>
            <wp:extent cx="5334000" cy="4525818"/>
            <wp:effectExtent b="0" l="0" r="0" t="0"/>
            <wp:docPr descr="City-to-city transfer matrix" title="" id="49" name="Picture"/>
            <a:graphic>
              <a:graphicData uri="http://schemas.openxmlformats.org/drawingml/2006/picture">
                <pic:pic>
                  <pic:nvPicPr>
                    <pic:cNvPr descr="fig_transfer_matrix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Full 7×7 city-to-city TF-IDF transfer (train on the row city,</w:t>
      </w:r>
      <w:r>
        <w:t xml:space="preserve"> </w:t>
      </w:r>
      <w:r>
        <w:t xml:space="preserve">test on the column city). Single-source cross-city transfer averages 0.247 macro-F1, far below the</w:t>
      </w:r>
      <w:r>
        <w:t xml:space="preserve"> </w:t>
      </w:r>
      <w:r>
        <w:t xml:space="preserve">multi-source leave-one-city-out result, and the SeeClickFix pair transfers asymmetrically.</w:t>
      </w:r>
    </w:p>
    <w:p>
      <w:pPr>
        <w:pStyle w:val="BodyText"/>
      </w:pPr>
      <w:r>
        <w:t xml:space="preserve">The full city-to-city matrix (Figure 5) makes the multi-source benefit concrete: training on a single</w:t>
      </w:r>
      <w:r>
        <w:t xml:space="preserve"> </w:t>
      </w:r>
      <w:r>
        <w:t xml:space="preserve">other city and testing on a target averages 0.247 macro-F1, less than half the leave-one-city-out result</w:t>
      </w:r>
      <w:r>
        <w:t xml:space="preserve"> </w:t>
      </w:r>
      <w:r>
        <w:t xml:space="preserve">(0.523 for TF-IDF), so pooling several source cities is worth far more than any single source. The structure</w:t>
      </w:r>
      <w:r>
        <w:t xml:space="preserve"> </w:t>
      </w:r>
      <w:r>
        <w:t xml:space="preserve">is not explained by shared platform alone; the two SeeClickFix cities transfer asymmetrically (Auburn to</w:t>
      </w:r>
      <w:r>
        <w:t xml:space="preserve"> </w:t>
      </w:r>
      <w:r>
        <w:t xml:space="preserve">Richmond 0.58, Richmond to Auburn 0.34), consistent with the inconclusive same-platform probe above.</w:t>
      </w:r>
    </w:p>
    <w:p>
      <w:pPr>
        <w:pStyle w:val="BodyText"/>
      </w:pPr>
      <w:r>
        <w:t xml:space="preserve">Transfer difficulty is partly predictable from how far apart two cities' corpora are. Across the 30 city</w:t>
      </w:r>
      <w:r>
        <w:t xml:space="preserve"> </w:t>
      </w:r>
      <w:r>
        <w:t xml:space="preserve">pairs that exclude the degenerate San Francisco cell (whose single-source transfer is uniformly near zero),</w:t>
      </w:r>
      <w:r>
        <w:t xml:space="preserve"> </w:t>
      </w:r>
      <w:r>
        <w:t xml:space="preserve">single-source transfer correlates negatively with vocabulary divergence between the two cities</w:t>
      </w:r>
      <w:r>
        <w:t xml:space="preserve"> </w:t>
      </w:r>
      <w:r>
        <w:t xml:space="preserve">(Spearman ρ = −0.54, p = 0.002); the class-distribution and text-length distances and the shared-platform</w:t>
      </w:r>
      <w:r>
        <w:t xml:space="preserve"> </w:t>
      </w:r>
      <w:r>
        <w:t xml:space="preserve">indicator are not significant, and with a single same-platform pair the platform test is underpowered. Including</w:t>
      </w:r>
      <w:r>
        <w:t xml:space="preserve"> </w:t>
      </w:r>
      <w:r>
        <w:t xml:space="preserve">San Francisco inflates the vocabulary correlation to ρ = −0.83, so we report the San Francisco-excluded</w:t>
      </w:r>
      <w:r>
        <w:t xml:space="preserve"> </w:t>
      </w:r>
      <w:r>
        <w:t xml:space="preserve">value. Cross-jurisdiction degradation therefore tracks lexical shift between cities, which a shared taxonomy</w:t>
      </w:r>
      <w:r>
        <w:t xml:space="preserve"> </w:t>
      </w:r>
      <w:r>
        <w:t xml:space="preserve">alone cannot remove.</w:t>
      </w:r>
    </w:p>
    <w:bookmarkEnd w:id="51"/>
    <w:bookmarkEnd w:id="52"/>
    <w:bookmarkStart w:id="5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 Because</w:t>
      </w:r>
      <w:r>
        <w:t xml:space="preserve"> </w:t>
      </w:r>
      <w:r>
        <w:t xml:space="preserve">the mean acceptable set spans only 1.37 of the 14 classes, a randomly chosen label is judge-accepted just 9.8%</w:t>
      </w:r>
      <w:r>
        <w:t xml:space="preserve"> </w:t>
      </w:r>
      <w:r>
        <w:t xml:space="preserve">of the time and a constant majority-class predictor reaches 0.414 defensibility-adjusted accuracy; the lenient</w:t>
      </w:r>
      <w:r>
        <w:t xml:space="preserve"> </w:t>
      </w:r>
      <w:r>
        <w:t xml:space="preserve">scores below are read against these floors, so the metric is discriminating rather than vacuously generous.</w:t>
      </w:r>
    </w:p>
    <w:p>
      <w:pPr>
        <w:pStyle w:val="BodyText"/>
      </w:pPr>
      <w:r>
        <w:t xml:space="preserve">The judge also disagrees with the city's own label on 14.2%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54" name="Picture"/>
            <a:graphic>
              <a:graphicData uri="http://schemas.openxmlformats.org/drawingml/2006/picture">
                <pic:pic>
                  <pic:nvPicPr>
                    <pic:cNvPr descr="fig_defensibilit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6):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9.6%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</w:t>
      </w:r>
    </w:p>
    <w:p>
      <w:pPr>
        <w:pStyle w:val="BodyText"/>
      </w:pPr>
      <w:r>
        <w:t xml:space="preserve">The separation between the LLM and the trained models lives precisely where a single answer exists. On the</w:t>
      </w:r>
      <w:r>
        <w:t xml:space="preserve"> </w:t>
      </w:r>
      <w:r>
        <w:t xml:space="preserve">requests the judge marks unambiguous (a single acceptable label, 2,329 of 3,502), the LLM's cross-city accuracy</w:t>
      </w:r>
      <w:r>
        <w:t xml:space="preserve"> </w:t>
      </w:r>
      <w:r>
        <w:t xml:space="preserve">is 0.850 against 0.776 for DistilBERT; on the multi-label requests the two converge (0.695 and 0.691), because</w:t>
      </w:r>
      <w:r>
        <w:t xml:space="preserve"> </w:t>
      </w:r>
      <w:r>
        <w:t xml:space="preserve">there is no single target to separate on. A router that auto-routes judge-unambiguous requests and escalates the</w:t>
      </w:r>
      <w:r>
        <w:t xml:space="preserve"> </w:t>
      </w:r>
      <w:r>
        <w:t xml:space="preserve">multi-label ones is a direct use of this structure.</w:t>
      </w:r>
    </w:p>
    <w:p>
      <w:pPr>
        <w:pStyle w:val="BodyText"/>
      </w:pPr>
      <w:r>
        <w:t xml:space="preserve">The two-judge consensus also functions as a corpus audit. Tracing the requests both judges reject back to</w:t>
      </w:r>
      <w:r>
        <w:t xml:space="preserve"> </w:t>
      </w:r>
      <w:r>
        <w:t xml:space="preserve">their native categories exposed five harmonization-rule errors, where a keyword fired the wrong first-match:</w:t>
      </w:r>
      <w:r>
        <w:t xml:space="preserve"> </w:t>
      </w:r>
      <w:r>
        <w:t xml:space="preserve">garbage-collection reports routed to drainage through a "leak" token, sewer backups routed to waste through a</w:t>
      </w:r>
      <w:r>
        <w:t xml:space="preserve"> </w:t>
      </w:r>
      <w:r>
        <w:t xml:space="preserve">"backup" token, and street grading routed to waste. Correcting the rules relabels 619 corpus rows (7 of the</w:t>
      </w:r>
      <w:r>
        <w:t xml:space="preserve"> </w:t>
      </w:r>
      <w:r>
        <w:t xml:space="preserve">3,502 test rows); every pooled macro-F1 moves by at most 0.001, so the results below stand on the corrected</w:t>
      </w:r>
      <w:r>
        <w:t xml:space="preserve"> </w:t>
      </w:r>
      <w:r>
        <w:t xml:space="preserve">corpus, which is the one released. The measured cross-jurisdiction gap therefore conflates three effects this</w:t>
      </w:r>
      <w:r>
        <w:t xml:space="preserve"> </w:t>
      </w:r>
      <w:r>
        <w:t xml:space="preserve">analysis makes visible without cleanly separating: genuine domain shift between cities, non-comparability of the</w:t>
      </w:r>
      <w:r>
        <w:t xml:space="preserve"> </w:t>
      </w:r>
      <w:r>
        <w:t xml:space="preserve">harmonized taxonomy at its boundaries, and text-label mismatch. The confusion structure identifies where the</w:t>
      </w:r>
      <w:r>
        <w:t xml:space="preserve"> </w:t>
      </w:r>
      <w:r>
        <w:t xml:space="preserve">boundary effects concentrate (Figure 7).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57" name="Picture"/>
            <a:graphic>
              <a:graphicData uri="http://schemas.openxmlformats.org/drawingml/2006/picture">
                <pic:pic>
                  <pic:nvPicPr>
                    <pic:cNvPr descr="fig_confu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59"/>
    <w:bookmarkStart w:id="60" w:name="discussion"/>
    <w:p>
      <w:pPr>
        <w:pStyle w:val="Heading2"/>
      </w:pPr>
      <w:r>
        <w:t xml:space="preserve">8. Discussion</w:t>
      </w:r>
    </w:p>
    <w:p>
      <w:pPr>
        <w:pStyle w:val="FirstParagrap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60"/>
    <w:bookmarkStart w:id="6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14.2%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61"/>
    <w:bookmarkStart w:id="62" w:name="ethics-and-data"/>
    <w:p>
      <w:pPr>
        <w:pStyle w:val="Heading2"/>
      </w:pPr>
      <w:r>
        <w:t xml:space="preserve">10. Ethics and data</w:t>
      </w:r>
    </w:p>
    <w:p>
      <w:pPr>
        <w:pStyle w:val="FirstParagrap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62"/>
    <w:bookmarkStart w:id="64" w:name="reproducibility"/>
    <w:p>
      <w:pPr>
        <w:pStyle w:val="Heading2"/>
      </w:pPr>
      <w:r>
        <w:t xml:space="preserve">11. Reproducibility</w:t>
      </w:r>
    </w:p>
    <w:p>
      <w:pPr>
        <w:pStyle w:val="FirstParagrap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 A</w:t>
      </w:r>
      <w:r>
        <w:t xml:space="preserve"> </w:t>
      </w:r>
      <w:hyperlink r:id="rId63">
        <w:r>
          <w:rPr>
            <w:rStyle w:val="Hyperlink"/>
          </w:rPr>
          <w:t xml:space="preserve">datasheet for the dataset</w:t>
        </w:r>
      </w:hyperlink>
      <w:r>
        <w:t xml:space="preserve"> </w:t>
      </w:r>
      <w:r>
        <w:t xml:space="preserve">(Gebru</w:t>
      </w:r>
      <w:r>
        <w:t xml:space="preserve"> </w:t>
      </w:r>
      <w:r>
        <w:t xml:space="preserve">et al.) accompanies the release.</w:t>
      </w:r>
    </w:p>
    <w:bookmarkEnd w:id="64"/>
    <w:bookmarkStart w:id="90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a third of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r>
        <w:pict>
          <v:rect style="width:0;height:1.5pt" o:hralign="center" o:hrstd="t" o:hr="t"/>
        </w:pict>
      </w:r>
    </w:p>
    <w:bookmarkStart w:id="89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65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66"/>
    </w:p>
    <w:p>
      <w:pPr>
        <w:pStyle w:val="Compact"/>
        <w:numPr>
          <w:ilvl w:val="0"/>
          <w:numId w:val="1002"/>
        </w:numPr>
      </w:pPr>
      <w:bookmarkStart w:id="67" w:name="r3"/>
      <w:r>
        <w:t xml:space="preserve">Sukel, M., Rudinac, S., &amp; Worring, M. (2019). Multimodal Classification of Urban Micro-Events. arXiv:1904.13349.</w:t>
      </w:r>
      <w:bookmarkEnd w:id="67"/>
    </w:p>
    <w:p>
      <w:pPr>
        <w:pStyle w:val="Compact"/>
        <w:numPr>
          <w:ilvl w:val="0"/>
          <w:numId w:val="1002"/>
        </w:numPr>
      </w:pPr>
      <w:bookmarkStart w:id="68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68"/>
    </w:p>
    <w:p>
      <w:pPr>
        <w:pStyle w:val="Compact"/>
        <w:numPr>
          <w:ilvl w:val="0"/>
          <w:numId w:val="1002"/>
        </w:numPr>
      </w:pPr>
      <w:bookmarkStart w:id="69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69"/>
    </w:p>
    <w:p>
      <w:pPr>
        <w:pStyle w:val="Compact"/>
        <w:numPr>
          <w:ilvl w:val="0"/>
          <w:numId w:val="1002"/>
        </w:numPr>
      </w:pPr>
      <w:bookmarkStart w:id="70" w:name="r6"/>
      <w:r>
        <w:t xml:space="preserve">Yuan, X., et al. (2023). Out-of-Distribution Generalization in Text Classification: Past, Present, and Future. arXiv:2305.14104.</w:t>
      </w:r>
      <w:bookmarkEnd w:id="70"/>
    </w:p>
    <w:p>
      <w:pPr>
        <w:pStyle w:val="Compact"/>
        <w:numPr>
          <w:ilvl w:val="0"/>
          <w:numId w:val="1002"/>
        </w:numPr>
      </w:pPr>
      <w:bookmarkStart w:id="71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71"/>
    </w:p>
    <w:p>
      <w:pPr>
        <w:pStyle w:val="Compact"/>
        <w:numPr>
          <w:ilvl w:val="0"/>
          <w:numId w:val="1002"/>
        </w:numPr>
      </w:pPr>
      <w:bookmarkStart w:id="72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72"/>
    </w:p>
    <w:p>
      <w:pPr>
        <w:pStyle w:val="Compact"/>
        <w:numPr>
          <w:ilvl w:val="0"/>
          <w:numId w:val="1002"/>
        </w:numPr>
      </w:pPr>
      <w:bookmarkStart w:id="73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73"/>
    </w:p>
    <w:p>
      <w:pPr>
        <w:pStyle w:val="Compact"/>
        <w:numPr>
          <w:ilvl w:val="0"/>
          <w:numId w:val="1002"/>
        </w:numPr>
      </w:pPr>
      <w:bookmarkStart w:id="74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74"/>
    </w:p>
    <w:p>
      <w:pPr>
        <w:pStyle w:val="Compact"/>
        <w:numPr>
          <w:ilvl w:val="0"/>
          <w:numId w:val="1002"/>
        </w:numPr>
      </w:pPr>
      <w:bookmarkStart w:id="75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75"/>
    </w:p>
    <w:p>
      <w:pPr>
        <w:pStyle w:val="Compact"/>
        <w:numPr>
          <w:ilvl w:val="0"/>
          <w:numId w:val="1002"/>
        </w:numPr>
      </w:pPr>
      <w:bookmarkStart w:id="76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76"/>
    </w:p>
    <w:p>
      <w:pPr>
        <w:pStyle w:val="Compact"/>
        <w:numPr>
          <w:ilvl w:val="0"/>
          <w:numId w:val="1002"/>
        </w:numPr>
      </w:pPr>
      <w:bookmarkStart w:id="77" w:name="r13"/>
      <w:r>
        <w:t xml:space="preserve">Kontokosta, C. E., &amp; Hong, B. (2017). Equity in 311 Reporting: Socio-Spatial Differentials in the Propensity to Complain. arXiv:1710.02452.</w:t>
      </w:r>
      <w:bookmarkEnd w:id="77"/>
    </w:p>
    <w:p>
      <w:pPr>
        <w:pStyle w:val="Compact"/>
        <w:numPr>
          <w:ilvl w:val="0"/>
          <w:numId w:val="1002"/>
        </w:numPr>
      </w:pPr>
      <w:bookmarkStart w:id="78" w:name="r14"/>
      <w:r>
        <w:t xml:space="preserve">Ramponi, A., &amp; Plank, B. (2020). Neural Unsupervised Domain Adaptation in NLP: A Survey.</w:t>
      </w:r>
      <w:r>
        <w:t xml:space="preserve"> </w:t>
      </w:r>
      <w:r>
        <w:rPr>
          <w:i/>
          <w:iCs/>
        </w:rPr>
        <w:t xml:space="preserve">COLING</w:t>
      </w:r>
      <w:r>
        <w:t xml:space="preserve">. aclanthology.org/2020.coling-main.603.</w:t>
      </w:r>
      <w:bookmarkEnd w:id="78"/>
    </w:p>
    <w:p>
      <w:pPr>
        <w:pStyle w:val="Compact"/>
        <w:numPr>
          <w:ilvl w:val="0"/>
          <w:numId w:val="1002"/>
        </w:numPr>
      </w:pPr>
      <w:bookmarkStart w:id="79" w:name="r15"/>
      <w:r>
        <w:t xml:space="preserve">Plank, B. (2022). The "Problem" of Human Label Variation: On Ground Truth in Data, Modeling and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. arXiv:2211.02570.</w:t>
      </w:r>
      <w:bookmarkEnd w:id="79"/>
    </w:p>
    <w:p>
      <w:pPr>
        <w:pStyle w:val="Compact"/>
        <w:numPr>
          <w:ilvl w:val="0"/>
          <w:numId w:val="1002"/>
        </w:numPr>
      </w:pPr>
      <w:bookmarkStart w:id="80" w:name="r16"/>
      <w:r>
        <w:t xml:space="preserve">Uma, A., Fornaciari, T., Hovy, D., Paun, S., Plank, B., &amp; Poesio, M. (2021). Learning from Disagreement: A Survey.</w:t>
      </w:r>
      <w:r>
        <w:t xml:space="preserve"> </w:t>
      </w:r>
      <w:r>
        <w:rPr>
          <w:i/>
          <w:iCs/>
        </w:rPr>
        <w:t xml:space="preserve">JAIR</w:t>
      </w:r>
      <w:r>
        <w:t xml:space="preserve">, 72, 1385-1470.</w:t>
      </w:r>
      <w:bookmarkEnd w:id="80"/>
    </w:p>
    <w:p>
      <w:pPr>
        <w:pStyle w:val="Compact"/>
        <w:numPr>
          <w:ilvl w:val="0"/>
          <w:numId w:val="1002"/>
        </w:numPr>
      </w:pPr>
      <w:bookmarkStart w:id="81" w:name="r17"/>
      <w:r>
        <w:t xml:space="preserve">Leonardelli, E., et al. (2023). SemEval-2023 Task 11: Learning with Disagreements (LeWiDi).</w:t>
      </w:r>
      <w:r>
        <w:t xml:space="preserve"> </w:t>
      </w:r>
      <w:r>
        <w:rPr>
          <w:i/>
          <w:iCs/>
        </w:rPr>
        <w:t xml:space="preserve">SemEval</w:t>
      </w:r>
      <w:r>
        <w:t xml:space="preserve">. arXiv:2304.14803.</w:t>
      </w:r>
      <w:bookmarkEnd w:id="81"/>
    </w:p>
    <w:p>
      <w:pPr>
        <w:pStyle w:val="Compact"/>
        <w:numPr>
          <w:ilvl w:val="0"/>
          <w:numId w:val="1002"/>
        </w:numPr>
      </w:pPr>
      <w:bookmarkStart w:id="82" w:name="r18"/>
      <w:r>
        <w:t xml:space="preserve">Nalchigar, S., &amp; Fox, M. S. (2017). Achieving Interoperability of Smart City Data: An Analysis of 311 Data.</w:t>
      </w:r>
      <w:r>
        <w:t xml:space="preserve"> </w:t>
      </w:r>
      <w:r>
        <w:rPr>
          <w:i/>
          <w:iCs/>
        </w:rPr>
        <w:t xml:space="preserve">Journal of Smart Cities</w:t>
      </w:r>
      <w:r>
        <w:t xml:space="preserve">, 3(1).</w:t>
      </w:r>
      <w:bookmarkEnd w:id="82"/>
    </w:p>
    <w:p>
      <w:pPr>
        <w:pStyle w:val="Compact"/>
        <w:numPr>
          <w:ilvl w:val="0"/>
          <w:numId w:val="1002"/>
        </w:numPr>
      </w:pPr>
      <w:bookmarkStart w:id="83" w:name="r19"/>
      <w:r>
        <w:t xml:space="preserve">Mullenbach, J., Wiegreffe, S., Duke, J., Sun, J., &amp; Eisenstein, J. (2018). Explainable Prediction of Medical Codes from Clinical Text.</w:t>
      </w:r>
      <w:r>
        <w:t xml:space="preserve"> </w:t>
      </w:r>
      <w:r>
        <w:rPr>
          <w:i/>
          <w:iCs/>
        </w:rPr>
        <w:t xml:space="preserve">NAACL-HLT</w:t>
      </w:r>
      <w:r>
        <w:t xml:space="preserve">. arXiv:1802.05695.</w:t>
      </w:r>
      <w:bookmarkEnd w:id="83"/>
    </w:p>
    <w:p>
      <w:pPr>
        <w:pStyle w:val="Compact"/>
        <w:numPr>
          <w:ilvl w:val="0"/>
          <w:numId w:val="1002"/>
        </w:numPr>
      </w:pPr>
      <w:bookmarkStart w:id="84" w:name="r20"/>
      <w:r>
        <w:t xml:space="preserve">Gweon, H., Schonlau, M., Kaczmirek, L., Blohm, M., &amp; Steiner, S. (2017). Three Methods for Occupation Coding Based on Statistical Learning.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 33(1), 101-122.</w:t>
      </w:r>
      <w:bookmarkEnd w:id="84"/>
    </w:p>
    <w:p>
      <w:pPr>
        <w:pStyle w:val="Compact"/>
        <w:numPr>
          <w:ilvl w:val="0"/>
          <w:numId w:val="1002"/>
        </w:numPr>
      </w:pPr>
      <w:bookmarkStart w:id="85" w:name="r21"/>
      <w:r>
        <w:t xml:space="preserve">Gulrajani, I., &amp; Lopez-Paz, D. (2021). In Search of Lost Domain Generalization.</w:t>
      </w:r>
      <w:r>
        <w:t xml:space="preserve"> </w:t>
      </w:r>
      <w:r>
        <w:rPr>
          <w:i/>
          <w:iCs/>
        </w:rPr>
        <w:t xml:space="preserve">ICLR</w:t>
      </w:r>
      <w:r>
        <w:t xml:space="preserve">. arXiv:2007.01434.</w:t>
      </w:r>
      <w:bookmarkEnd w:id="85"/>
    </w:p>
    <w:p>
      <w:pPr>
        <w:pStyle w:val="Compact"/>
        <w:numPr>
          <w:ilvl w:val="0"/>
          <w:numId w:val="1002"/>
        </w:numPr>
      </w:pPr>
      <w:bookmarkStart w:id="86" w:name="r22"/>
      <w:r>
        <w:t xml:space="preserve">Mueller, A., Krone, J., Romeo, S., Mansour, S., Mansimov, E., Zhang, Y., &amp; Roth, D. (2022). Label Semantic Aware Pre-training for Few-shot Text Classification.</w:t>
      </w:r>
      <w:r>
        <w:t xml:space="preserve"> </w:t>
      </w:r>
      <w:r>
        <w:rPr>
          <w:i/>
          <w:iCs/>
        </w:rPr>
        <w:t xml:space="preserve">ACL</w:t>
      </w:r>
      <w:r>
        <w:t xml:space="preserve">. arXiv:2204.07128.</w:t>
      </w:r>
      <w:bookmarkEnd w:id="86"/>
    </w:p>
    <w:p>
      <w:pPr>
        <w:pStyle w:val="Compact"/>
        <w:numPr>
          <w:ilvl w:val="0"/>
          <w:numId w:val="1002"/>
        </w:numPr>
      </w:pPr>
      <w:bookmarkStart w:id="87" w:name="r23"/>
      <w:r>
        <w:t xml:space="preserve">Aroyo, L., &amp; Welty, C. (2015). Truth Is a Lie: Crowd Truth and the Seven Myths of Human Annotation.</w:t>
      </w:r>
      <w:r>
        <w:t xml:space="preserve"> </w:t>
      </w:r>
      <w:r>
        <w:rPr>
          <w:i/>
          <w:iCs/>
        </w:rPr>
        <w:t xml:space="preserve">AI Magazine</w:t>
      </w:r>
      <w:r>
        <w:t xml:space="preserve">, 36(1), 15-24.</w:t>
      </w:r>
      <w:bookmarkEnd w:id="87"/>
    </w:p>
    <w:p>
      <w:pPr>
        <w:pStyle w:val="Compact"/>
        <w:numPr>
          <w:ilvl w:val="0"/>
          <w:numId w:val="1002"/>
        </w:numPr>
      </w:pPr>
      <w:bookmarkStart w:id="88" w:name="r24"/>
      <w:r>
        <w:t xml:space="preserve">White, A., &amp; Trump, K. S. (2018). The Promises and Pitfalls of 311 Data.</w:t>
      </w:r>
      <w:r>
        <w:t xml:space="preserve"> </w:t>
      </w:r>
      <w:r>
        <w:rPr>
          <w:i/>
          <w:iCs/>
        </w:rPr>
        <w:t xml:space="preserve">Urban Affairs Review</w:t>
      </w:r>
      <w:r>
        <w:t xml:space="preserve">, 54(4), 794-823.</w:t>
      </w:r>
      <w:bookmarkEnd w:id="88"/>
    </w:p>
    <w:p>
      <w:pPr>
        <w:pStyle w:val="FirstParagrap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89"/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6" Type="http://schemas.openxmlformats.org/officeDocument/2006/relationships/image" Target="media/rId56.png"/><Relationship Id="rId30" Type="http://schemas.openxmlformats.org/officeDocument/2006/relationships/image" Target="media/rId30.png"/><Relationship Id="rId53" Type="http://schemas.openxmlformats.org/officeDocument/2006/relationships/image" Target="media/rId53.png"/><Relationship Id="rId45" Type="http://schemas.openxmlformats.org/officeDocument/2006/relationships/image" Target="media/rId45.png"/><Relationship Id="rId37" Type="http://schemas.openxmlformats.org/officeDocument/2006/relationships/image" Target="media/rId37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 Multi-City Free-Text Benchmark for Cross-Jurisdiction 311 Classification</dc:title>
  <dc:creator/>
  <dc:language>en</dc:language>
  <cp:keywords/>
  <dcterms:created xsi:type="dcterms:W3CDTF">2026-08-31T12:46:42Z</dcterms:created>
  <dcterms:modified xsi:type="dcterms:W3CDTF">2026-08-31T12:46:42Z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