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MC311: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Labels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Ground</w:t>
      </w:r>
      <w:r>
        <w:t xml:space="preserve"> </w:t>
      </w:r>
      <w:r>
        <w:t xml:space="preserve">Truth</w:t>
      </w:r>
      <w:r>
        <w:t xml:space="preserve"> </w:t>
      </w:r>
      <w:r>
        <w:t xml:space="preserve">for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311</w:t>
      </w:r>
      <w:r>
        <w:t xml:space="preserve"> </w:t>
      </w:r>
      <w:r>
        <w:t xml:space="preserve">Classification</w:t>
      </w:r>
    </w:p>
    <w:bookmarkStart w:id="92" w:name="Xd0ff751f9cc4ffed3c040c4067b835a612520f4"/>
    <w:p>
      <w:pPr>
        <w:pStyle w:val="Heading1"/>
      </w:pPr>
      <w:r>
        <w:t xml:space="preserve">MC311: Administrative Labels Are Not Ground Truth for Cross-Jurisdiction 311 Classification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Benchmarks assembled from operational labels, such as 311 service codes, clinical codes, or moderation queues,</w:t>
      </w:r>
      <w:r>
        <w:t xml:space="preserve"> </w:t>
      </w:r>
      <w:r>
        <w:t xml:space="preserve">treat those labels as ground truth, yet the category a bureaucracy recorded need not match what the citizen</w:t>
      </w:r>
      <w:r>
        <w:t xml:space="preserve"> </w:t>
      </w:r>
      <w:r>
        <w:t xml:space="preserve">wrote. We introduce a defensibility protocol that measures this gap: two language-model judges from different</w:t>
      </w:r>
      <w:r>
        <w:t xml:space="preserve"> </w:t>
      </w:r>
      <w:r>
        <w:t xml:space="preserve">families, each blind to the model and to the recorded label, certify the set of labels a text supports, with</w:t>
      </w:r>
      <w:r>
        <w:t xml:space="preserve"> </w:t>
      </w:r>
      <w:r>
        <w:t xml:space="preserve">discriminant floors that show the metric is not vacuously generous. We instantiate it on MC311, the first</w:t>
      </w:r>
      <w:r>
        <w:t xml:space="preserve"> </w:t>
      </w:r>
      <w:r>
        <w:t xml:space="preserve">public multi-city free-text 311 benchmark, drawing about 156,000 citizen narratives from seven US cities into</w:t>
      </w:r>
      <w:r>
        <w:t xml:space="preserve"> </w:t>
      </w:r>
      <w:r>
        <w:t xml:space="preserve">one frozen 3,502-row test set under a shared 14-class ontology. The protocol changes what the benchmark</w:t>
      </w:r>
      <w:r>
        <w:t xml:space="preserve"> </w:t>
      </w:r>
      <w:r>
        <w:t xml:space="preserve">reports. Crossing a city boundary appears to cost a third of pooled macro-F1 (DistilBERT 0.826 in-city to 0.557</w:t>
      </w:r>
      <w:r>
        <w:t xml:space="preserve"> </w:t>
      </w:r>
      <w:r>
        <w:t xml:space="preserve">across cities), but 14.2% of recorded labels are not entailed by the text and a third of requests admit more</w:t>
      </w:r>
      <w:r>
        <w:t xml:space="preserve"> </w:t>
      </w:r>
      <w:r>
        <w:t xml:space="preserve">than one valid label; crediting any judge-acceptable label rescues 91% of the strongest model's cross-city</w:t>
      </w:r>
      <w:r>
        <w:t xml:space="preserve"> </w:t>
      </w:r>
      <w:r>
        <w:t xml:space="preserve">errors (strict 0.797 to lenient 0.981), and a significant gap between the two strongest models is erased: gpt-4o</w:t>
      </w:r>
      <w:r>
        <w:t xml:space="preserve"> </w:t>
      </w:r>
      <w:r>
        <w:t xml:space="preserve">beats gpt-4o-mini on strict accuracy but ties it once defensible labels are credited. The residual ambiguity is structured: the class pairs</w:t>
      </w:r>
      <w:r>
        <w:t xml:space="preserve"> </w:t>
      </w:r>
      <w:r>
        <w:t xml:space="preserve">annotators treat as interchangeable are the pairs models confuse (Spearman 0.75). Used as a training</w:t>
      </w:r>
      <w:r>
        <w:t xml:space="preserve"> </w:t>
      </w:r>
      <w:r>
        <w:t xml:space="preserve">signal, the protocol improves pooled cross-jurisdiction transfer: relabeling judge-rejected rows lifts macro-F1</w:t>
      </w:r>
      <w:r>
        <w:t xml:space="preserve"> </w:t>
      </w:r>
      <w:r>
        <w:t xml:space="preserve">by 0.055 over raw labels and 0.041 over a random-relabel control (95% CIs exclude zero). Run as an audit, it</w:t>
      </w:r>
      <w:r>
        <w:t xml:space="preserve"> </w:t>
      </w:r>
      <w:r>
        <w:t xml:space="preserve">located five real mapping errors in the corpus. MC311 and the protocol are released so other</w:t>
      </w:r>
      <w:r>
        <w:t xml:space="preserve"> </w:t>
      </w:r>
      <w:r>
        <w:t xml:space="preserve">administrative-label benchmarks can measure the label-text gap.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</w:pPr>
      <w:r>
        <w:t xml:space="preserve">This paper builds the missing benchmark and uses it to ask a question single-city work cannot: when a</w:t>
      </w:r>
      <w:r>
        <w:t xml:space="preserve"> </w:t>
      </w:r>
      <w:r>
        <w:t xml:space="preserve">classifier appears to fail on a new city, is the model wrong, or is the city's recorded label wrong? Answering</w:t>
      </w:r>
      <w:r>
        <w:t xml:space="preserve"> </w:t>
      </w:r>
      <w:r>
        <w:t xml:space="preserve">it requires an evaluation that does not assume the administrative label is ground truth, so the benchmark and</w:t>
      </w:r>
      <w:r>
        <w:t xml:space="preserve"> </w:t>
      </w:r>
      <w:r>
        <w:t xml:space="preserve">the protocol that reads it are joint contributions: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defensibility protocol</w:t>
      </w:r>
      <w:r>
        <w:t xml:space="preserve"> </w:t>
      </w:r>
      <w:r>
        <w:t xml:space="preserve">for benchmarks built from administrative labels: two blind LLM judges</w:t>
      </w:r>
      <w:r>
        <w:t xml:space="preserve"> </w:t>
      </w:r>
      <w:r>
        <w:t xml:space="preserve">from different model families certify the set of labels each text supports, with discriminant floors that show</w:t>
      </w:r>
      <w:r>
        <w:t xml:space="preserve"> </w:t>
      </w:r>
      <w:r>
        <w:t xml:space="preserve">the metric is not vacuously generous and a corpus-audit loop that turns the same judgments into bug-finding.</w:t>
      </w:r>
      <w:r>
        <w:t xml:space="preserve"> </w:t>
      </w:r>
      <w:r>
        <w:t xml:space="preserve">The protocol is corpus-agnostic; 311 is the case study.</w:t>
      </w:r>
    </w:p>
    <w:p>
      <w:pPr>
        <w:pStyle w:val="Compact"/>
        <w:numPr>
          <w:ilvl w:val="0"/>
          <w:numId w:val="1001"/>
        </w:numPr>
      </w:pPr>
      <w:r>
        <w:t xml:space="preserve">MC311, to our knowledge the first public multi-city free-text 311 resource: about 156,000 citizen</w:t>
      </w:r>
      <w:r>
        <w:t xml:space="preserve"> </w:t>
      </w:r>
      <w:r>
        <w:t xml:space="preserve">narratives from seven US cities, released as a single harmonized cross-city database in a shared 14-class label</w:t>
      </w:r>
      <w:r>
        <w:t xml:space="preserve"> </w:t>
      </w:r>
      <w:r>
        <w:t xml:space="preserve">space (each of 545 native categories mapped to a common class by an auditable rule set, with the native label</w:t>
      </w:r>
      <w:r>
        <w:t xml:space="preserve"> </w:t>
      </w:r>
      <w:r>
        <w:t xml:space="preserve">retained per row), plus one frozen aligned test split and a verified survey of which portals expose free text.</w:t>
      </w:r>
      <w:r>
        <w:t xml:space="preserve"> </w:t>
      </w:r>
      <w:r>
        <w:t xml:space="preserve">The harmonized common-label-space corpus is a reusable resource independent of the transfer and protocol</w:t>
      </w:r>
      <w:r>
        <w:t xml:space="preserve"> </w:t>
      </w:r>
      <w:r>
        <w:t xml:space="preserve">results below.</w:t>
      </w:r>
    </w:p>
    <w:p>
      <w:pPr>
        <w:pStyle w:val="Compact"/>
        <w:numPr>
          <w:ilvl w:val="0"/>
          <w:numId w:val="1001"/>
        </w:numPr>
      </w:pPr>
      <w:r>
        <w:t xml:space="preserve">Evidence that the protocol changes conclusions: on MC311, 14.2% of recorded labels are not entailed by the</w:t>
      </w:r>
      <w:r>
        <w:t xml:space="preserve"> </w:t>
      </w:r>
      <w:r>
        <w:t xml:space="preserve">text, 91% of the strongest model's cross-city errors are judge-defensible, a significant strict-accuracy gap</w:t>
      </w:r>
      <w:r>
        <w:t xml:space="preserve"> </w:t>
      </w:r>
      <w:r>
        <w:t xml:space="preserve">between the two strongest models vanishes under the defensibility-adjusted metric, and repairing training labels</w:t>
      </w:r>
      <w:r>
        <w:t xml:space="preserve"> </w:t>
      </w:r>
      <w:r>
        <w:t xml:space="preserve">with the judge improves pooled cross-jurisdiction transfer (+0.055 over raw labels, +0.041 over a random-relabel</w:t>
      </w:r>
      <w:r>
        <w:t xml:space="preserve"> </w:t>
      </w:r>
      <w:r>
        <w:t xml:space="preserve">control).</w:t>
      </w:r>
    </w:p>
    <w:p>
      <w:pPr>
        <w:pStyle w:val="Compact"/>
        <w:numPr>
          <w:ilvl w:val="0"/>
          <w:numId w:val="1001"/>
        </w:numPr>
      </w:pPr>
      <w:r>
        <w:t xml:space="preserve">Evidence that the residual disagreement is structured, not noise: annotator-ambiguity coincides with</w:t>
      </w:r>
      <w:r>
        <w:t xml:space="preserve"> </w:t>
      </w:r>
      <w:r>
        <w:t xml:space="preserve">model-confusion (Spearman 0.75), and an ambiguity-derived taxonomy removes residual ambiguity more efficiently</w:t>
      </w:r>
      <w:r>
        <w:t xml:space="preserve"> </w:t>
      </w:r>
      <w:r>
        <w:t xml:space="preserve">than any equal-size random merge, yielding a data-driven ontology revision.</w:t>
      </w:r>
    </w:p>
    <w:p>
      <w:pPr>
        <w:pStyle w:val="Compact"/>
        <w:numPr>
          <w:ilvl w:val="0"/>
          <w:numId w:val="1001"/>
        </w:numPr>
      </w:pPr>
      <w:r>
        <w:t xml:space="preserve">A transfer study (TF-IDF, fine-tuned DistilBERT, zero-shot LLM) with a large, significant cross-jurisdiction</w:t>
      </w:r>
      <w:r>
        <w:t xml:space="preserve"> </w:t>
      </w:r>
      <w:r>
        <w:t xml:space="preserve">gap, the trained-model shortfall concentrated in rare, city-idiosyncratic classes, and the per-pair gap</w:t>
      </w:r>
      <w:r>
        <w:t xml:space="preserve"> </w:t>
      </w:r>
      <w:r>
        <w:t xml:space="preserve">correlating with inter-city vocabulary divergence.</w:t>
      </w:r>
    </w:p>
    <w:p>
      <w:pPr>
        <w:pStyle w:val="FirstParagraph"/>
      </w:pPr>
      <w:r>
        <w:t xml:space="preserve">The protocol is the point. Any benchmark built by harvesting the labels an institution already recorded</w:t>
      </w:r>
      <w:r>
        <w:t xml:space="preserve"> </w:t>
      </w:r>
      <w:r>
        <w:t xml:space="preserve">inherits those labels as if they were semantic ground truth; a multi-city 311 corpus, where seven bureaucracies</w:t>
      </w:r>
      <w:r>
        <w:t xml:space="preserve"> </w:t>
      </w:r>
      <w:r>
        <w:t xml:space="preserve">labeled the same kinds of request differently, makes the mismatch measurable. We show the mismatch is large,</w:t>
      </w:r>
      <w:r>
        <w:t xml:space="preserve"> </w:t>
      </w:r>
      <w:r>
        <w:t xml:space="preserve">structured, and consequential enough to change which model a leaderboard prefers, and we release the instrument</w:t>
      </w:r>
      <w:r>
        <w:t xml:space="preserve"> </w:t>
      </w:r>
      <w:r>
        <w:t xml:space="preserve">that measures it.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splits. Nalchigar and Fox</w:t>
      </w:r>
      <w:r>
        <w:t xml:space="preserve"> </w:t>
      </w:r>
      <w:r>
        <w:t xml:space="preserve">build a 311 reference ontology to align service codes across cities</w:t>
      </w:r>
      <w:r>
        <w:t xml:space="preserve"> </w:t>
      </w:r>
      <w:hyperlink w:anchor="r18">
        <w:r>
          <w:rPr>
            <w:rStyle w:val="Hyperlink"/>
            <w:vertAlign w:val="superscript"/>
          </w:rPr>
          <w:t xml:space="preserve">[18]</w:t>
        </w:r>
      </w:hyperlink>
      <w:r>
        <w:t xml:space="preserve">, the</w:t>
      </w:r>
      <w:r>
        <w:t xml:space="preserve"> </w:t>
      </w:r>
      <w:r>
        <w:t xml:space="preserve">closest precedent to our harmonization, but release no public benchmark or evaluation splits, and White and</w:t>
      </w:r>
      <w:r>
        <w:t xml:space="preserve"> </w:t>
      </w:r>
      <w:r>
        <w:t xml:space="preserve">Trump caution that 311 reporting is a noisy, biased signal of citizen need</w:t>
      </w:r>
      <w:r>
        <w:t xml:space="preserve"> </w:t>
      </w:r>
      <w:hyperlink w:anchor="r24">
        <w:r>
          <w:rPr>
            <w:rStyle w:val="Hyperlink"/>
            <w:vertAlign w:val="superscript"/>
          </w:rPr>
          <w:t xml:space="preserve">[24]</w:t>
        </w:r>
      </w:hyperlink>
      <w:r>
        <w:t xml:space="preserve">.</w:t>
      </w:r>
      <w:r>
        <w:t xml:space="preserve"> </w:t>
      </w:r>
      <w:r>
        <w:t xml:space="preserve">We 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; surveys of NLP domain adaptation</w:t>
      </w:r>
      <w:r>
        <w:t xml:space="preserve"> </w:t>
      </w:r>
      <w:hyperlink w:anchor="r14">
        <w:r>
          <w:rPr>
            <w:rStyle w:val="Hyperlink"/>
            <w:vertAlign w:val="superscript"/>
          </w:rPr>
          <w:t xml:space="preserve">[14]</w:t>
        </w:r>
      </w:hyperlink>
      <w:r>
        <w:t xml:space="preserve"> </w:t>
      </w:r>
      <w:r>
        <w:t xml:space="preserve">and the strong-baseline lessons of DomainBed</w:t>
      </w:r>
      <w:r>
        <w:t xml:space="preserve"> </w:t>
      </w:r>
      <w:hyperlink w:anchor="r21">
        <w:r>
          <w:rPr>
            <w:rStyle w:val="Hyperlink"/>
            <w:vertAlign w:val="superscript"/>
          </w:rPr>
          <w:t xml:space="preserve">[21]</w:t>
        </w:r>
      </w:hyperlink>
      <w:r>
        <w:t xml:space="preserve"> </w:t>
      </w:r>
      <w:r>
        <w:t xml:space="preserve">inform our setup. We treat each city as a domain whose taxonomy 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 parallel</w:t>
      </w:r>
      <w:r>
        <w:t xml:space="preserve"> </w:t>
      </w:r>
      <w:r>
        <w:t xml:space="preserve">line in perspectivist NLP argues that human label variation is often legitimate rather than error, and that</w:t>
      </w:r>
      <w:r>
        <w:t xml:space="preserve"> </w:t>
      </w:r>
      <w:r>
        <w:t xml:space="preserve">evaluation should credit multiple valid labels</w:t>
      </w:r>
      <w:r>
        <w:t xml:space="preserve"> </w:t>
      </w:r>
      <w:hyperlink w:anchor="r15">
        <w:r>
          <w:rPr>
            <w:rStyle w:val="Hyperlink"/>
            <w:vertAlign w:val="superscript"/>
          </w:rPr>
          <w:t xml:space="preserve">[15]</w:t>
        </w:r>
      </w:hyperlink>
      <w:r>
        <w:rPr>
          <w:vertAlign w:val="superscript"/>
        </w:rPr>
        <w:t xml:space="preserve">,</w:t>
      </w:r>
      <w:hyperlink w:anchor="r16">
        <w:r>
          <w:rPr>
            <w:rStyle w:val="Hyperlink"/>
            <w:vertAlign w:val="superscript"/>
          </w:rPr>
          <w:t xml:space="preserve">[16]</w:t>
        </w:r>
      </w:hyperlink>
      <w:r>
        <w:rPr>
          <w:vertAlign w:val="superscript"/>
        </w:rPr>
        <w:t xml:space="preserve">,</w:t>
      </w:r>
      <w:hyperlink w:anchor="r17">
        <w:r>
          <w:rPr>
            <w:rStyle w:val="Hyperlink"/>
            <w:vertAlign w:val="superscript"/>
          </w:rPr>
          <w:t xml:space="preserve">[17]</w:t>
        </w:r>
      </w:hyperlink>
      <w:r>
        <w:rPr>
          <w:vertAlign w:val="superscript"/>
        </w:rPr>
        <w:t xml:space="preserve">,</w:t>
      </w:r>
      <w:hyperlink w:anchor="r23">
        <w:r>
          <w:rPr>
            <w:rStyle w:val="Hyperlink"/>
            <w:vertAlign w:val="superscript"/>
          </w:rPr>
          <w:t xml:space="preserve">[23]</w:t>
        </w:r>
      </w:hyperlink>
      <w:r>
        <w:t xml:space="preserve">;</w:t>
      </w:r>
      <w:r>
        <w:t xml:space="preserve"> </w:t>
      </w:r>
      <w:r>
        <w:t xml:space="preserve">our acceptable-set metric is an instance of this ambiguity-aware evaluation. Administrative-code harmonization,</w:t>
      </w:r>
      <w:r>
        <w:t xml:space="preserve"> </w:t>
      </w:r>
      <w:r>
        <w:t xml:space="preserve">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hyperlink w:anchor="r20">
        <w:r>
          <w:rPr>
            <w:rStyle w:val="Hyperlink"/>
            <w:vertAlign w:val="superscript"/>
          </w:rPr>
          <w:t xml:space="preserve">,[20]</w:t>
        </w:r>
      </w:hyperlink>
      <w:r>
        <w:t xml:space="preserve"> </w:t>
      </w:r>
      <w:r>
        <w:t xml:space="preserve">and medical coding from</w:t>
      </w:r>
      <w:r>
        <w:t xml:space="preserve"> </w:t>
      </w:r>
      <w:r>
        <w:t xml:space="preserve">clinical text</w:t>
      </w:r>
      <w:r>
        <w:t xml:space="preserve"> </w:t>
      </w:r>
      <w:hyperlink w:anchor="r19">
        <w:r>
          <w:rPr>
            <w:rStyle w:val="Hyperlink"/>
            <w:vertAlign w:val="superscript"/>
          </w:rPr>
          <w:t xml:space="preserve">[19]</w:t>
        </w:r>
      </w:hyperlink>
      <w:r>
        <w:t xml:space="preserve">, is a direct analogue: short text mapped to a contested</w:t>
      </w:r>
      <w:r>
        <w:t xml:space="preserve"> </w:t>
      </w:r>
      <w:r>
        <w:t xml:space="preserve">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 Label-semantic pretraining injects label descriptions into the model</w:t>
      </w:r>
      <w:r>
        <w:t xml:space="preserve"> </w:t>
      </w:r>
      <w:hyperlink w:anchor="r22">
        <w:r>
          <w:rPr>
            <w:rStyle w:val="Hyperlink"/>
            <w:vertAlign w:val="superscript"/>
          </w:rPr>
          <w:t xml:space="preserve">[22]</w:t>
        </w:r>
      </w:hyperlink>
      <w:r>
        <w:t xml:space="preserve">,</w:t>
      </w:r>
      <w:r>
        <w:t xml:space="preserve"> </w:t>
      </w:r>
      <w:r>
        <w:t xml:space="preserve">which our sentence-transformer and NLI baselines approximate at inference time.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6" w:name="corpus-construction"/>
    <w:p>
      <w:pPr>
        <w:pStyle w:val="Heading2"/>
      </w:pPr>
      <w:r>
        <w:t xml:space="preserve">3. Corpus construction</w:t>
      </w:r>
    </w:p>
    <w:p>
      <w:pPr>
        <w:pStyle w:val="CaptionedFigure"/>
      </w:pPr>
      <w:r>
        <w:drawing>
          <wp:inline>
            <wp:extent cx="5334000" cy="698470"/>
            <wp:effectExtent b="0" l="0" r="0" t="0"/>
            <wp:docPr descr="Corpus construction pipeline" title="" id="31" name="Picture"/>
            <a:graphic>
              <a:graphicData uri="http://schemas.openxmlformats.org/drawingml/2006/picture">
                <pic:pic>
                  <pic:nvPicPr>
                    <pic:cNvPr descr="fig_corpus_flo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8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Corpus construction: from probed municipal portals to the frozen</w:t>
      </w:r>
      <w:r>
        <w:t xml:space="preserve"> </w:t>
      </w:r>
      <w:r>
        <w:t xml:space="preserve">MC311 benchmark, through free-text confirmation, harmonization, administrative-category removal, an</w:t>
      </w:r>
      <w:r>
        <w:t xml:space="preserve"> </w:t>
      </w:r>
      <w:r>
        <w:t xml:space="preserve">informativeness filter, and PII scrubbing.</w:t>
      </w:r>
    </w:p>
    <w:bookmarkStart w:id="33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</w:pPr>
      <w:r>
        <w:t xml:space="preserve">We assemble MC311 in the stages of Figure 1. The first design constraint is that genuine citizen narrative</w:t>
      </w:r>
      <w:r>
        <w:t xml:space="preserve"> </w:t>
      </w:r>
      <w:r>
        <w:t xml:space="preserve">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3"/>
    <w:bookmarkStart w:id="34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4"/>
    <w:bookmarkStart w:id="35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5"/>
    <w:bookmarkEnd w:id="36"/>
    <w:bookmarkStart w:id="40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 Figure 2 shows these boundaries empirically: the heaviest cross-city confusion concentrates on a</w:t>
      </w:r>
      <w:r>
        <w:t xml:space="preserve"> </w:t>
      </w:r>
      <w:r>
        <w:t xml:space="preserve">few neighboring pairs, with Waste and Sanitation acting as a hub (its overlap with Parking, Homelessness,</w:t>
      </w:r>
      <w:r>
        <w:t xml:space="preserve"> </w:t>
      </w:r>
      <w:r>
        <w:t xml:space="preserve">Trees, and Property reflects debris, encampment cleanups, yard waste, and property nuisance all bordering it).</w:t>
      </w:r>
    </w:p>
    <w:p>
      <w:pPr>
        <w:pStyle w:val="CaptionedFigure"/>
      </w:pPr>
      <w:r>
        <w:drawing>
          <wp:inline>
            <wp:extent cx="5334000" cy="5169030"/>
            <wp:effectExtent b="0" l="0" r="0" t="0"/>
            <wp:docPr descr="Taxonomy boundary confusion graph" title="" id="38" name="Picture"/>
            <a:graphic>
              <a:graphicData uri="http://schemas.openxmlformats.org/drawingml/2006/picture">
                <pic:pic>
                  <pic:nvPicPr>
                    <pic:cNvPr descr="fig_taxonomy_boundar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9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14 classes with the top cross-city confusion pairs as edges</w:t>
      </w:r>
      <w:r>
        <w:t xml:space="preserve"> </w:t>
      </w:r>
      <w:r>
        <w:t xml:space="preserve">(edge width proportional to DistilBERT misclassification count). Confusion concentrates on semantically</w:t>
      </w:r>
      <w:r>
        <w:t xml:space="preserve"> </w:t>
      </w:r>
      <w:r>
        <w:t xml:space="preserve">adjacent boundaries rather than spreading uniformly.</w:t>
      </w:r>
    </w:p>
    <w:bookmarkEnd w:id="40"/>
    <w:bookmarkStart w:id="41" w:name="experimental-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union of the gold and predicted labels in the pooled test set,</w:t>
      </w:r>
      <w:r>
        <w:t xml:space="preserve"> </w:t>
      </w:r>
      <w:r>
        <w:t xml:space="preserve">with 95% confidence intervals from 1,000 bootstrap resamples of the test examples. Averaging over the union</w:t>
      </w:r>
      <w:r>
        <w:t xml:space="preserve"> </w:t>
      </w:r>
      <w:r>
        <w:t xml:space="preserve">rather than the gold classes alone charges a model for predicting a label no request carries, which slightly</w:t>
      </w:r>
      <w:r>
        <w:t xml:space="preserve"> </w:t>
      </w:r>
      <w:r>
        <w:t xml:space="preserve">lowers the LLM's score (a handful of unparsed predictions add a zero-F1 class); we keep the union convention as</w:t>
      </w:r>
      <w:r>
        <w:t xml:space="preserve"> </w:t>
      </w:r>
      <w:r>
        <w:t xml:space="preserve">the conservative choice. Pooled macro-F1 concatenates all cities' test</w:t>
      </w:r>
      <w:r>
        <w:t xml:space="preserve"> </w:t>
      </w:r>
      <w:r>
        <w:t xml:space="preserve">rows and computes macro-F1 once over that union;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 Trained-model scores are stable across three</w:t>
      </w:r>
      <w:r>
        <w:t xml:space="preserve"> </w:t>
      </w:r>
      <w:r>
        <w:t xml:space="preserve">random seeds (DistilBERT in-city 0.824 ± 0.003, cross-city 0.553 ± 0.004).</w:t>
      </w:r>
    </w:p>
    <w:p>
      <w:pPr>
        <w:pStyle w:val="BodyText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As LLM ablations we also report gpt-4o (a stronger model) and a few-shot variant</w:t>
      </w:r>
      <w:r>
        <w:t xml:space="preserve"> </w:t>
      </w:r>
      <w:r>
        <w:t xml:space="preserve">that adds one labeled exemplar per class drawn from the training cities. LLM inference runs through the</w:t>
      </w:r>
      <w:r>
        <w:t xml:space="preserve"> </w:t>
      </w:r>
      <w:r>
        <w:t xml:space="preserve">provider batch APIs at half the standard token price. As additional baselines we report (iv) a fine-tuned</w:t>
      </w:r>
      <w:r>
        <w:t xml:space="preserve"> </w:t>
      </w:r>
      <w:r>
        <w:t xml:space="preserve">RoBERTa-base encoder, and two zero-shot label-semantic methods that use the class descriptions but no training:</w:t>
      </w:r>
      <w:r>
        <w:t xml:space="preserve"> </w:t>
      </w:r>
      <w:r>
        <w:t xml:space="preserve">a sentence-transformer that assigns the nearest class-description embedding, and an NLI entailment classifier.</w:t>
      </w:r>
      <w:r>
        <w:t xml:space="preserve"> </w:t>
      </w:r>
      <w:r>
        <w:t xml:space="preserve">Hyperparameters and the verbatim prompt are released with the code.</w:t>
      </w:r>
    </w:p>
    <w:bookmarkEnd w:id="41"/>
    <w:bookmarkStart w:id="5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43" name="Picture"/>
            <a:graphic>
              <a:graphicData uri="http://schemas.openxmlformats.org/drawingml/2006/picture">
                <pic:pic>
                  <pic:nvPicPr>
                    <pic:cNvPr descr="fig_transf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0.826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0.557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gpt-4o-mini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 [.68,.73]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</w:tr>
    </w:tbl>
    <w:p>
      <w:pPr>
        <w:pStyle w:val="BodyText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</w:pPr>
      <w:r>
        <w:t xml:space="preserve">Two results are stable across models. Crossing city boundaries costs roughly a third of macro-F1, from 0.826</w:t>
      </w:r>
      <w:r>
        <w:t xml:space="preserve"> </w:t>
      </w:r>
      <w:r>
        <w:t xml:space="preserve">to 0.557 for DistilBERT and from 0.784 to 0.523 for TF-IDF (Figure 3),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(0.655)</w:t>
      </w:r>
      <w:r>
        <w:t xml:space="preserve"> </w:t>
      </w:r>
      <w:r>
        <w:t xml:space="preserve">above DistilBERT (0.557) above TF-IDF (0.523), is significant: paired bootstrap over the shared test examples</w:t>
      </w:r>
      <w:r>
        <w:t xml:space="preserve"> </w:t>
      </w:r>
      <w:r>
        <w:t xml:space="preserve">gives a mean difference of +0.098 for LLM over DistilBERT and +0.130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single-source transfer (0.585, Figure 5) exceeds Richmond's leave-one-city-out score (0.477) while</w:t>
      </w:r>
      <w:r>
        <w:t xml:space="preserve"> </w:t>
      </w:r>
      <w:r>
        <w:t xml:space="preserve">Richmond-to-Auburn (0.338)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the full 7×7 single-source matrix is</w:t>
      </w:r>
      <w:r>
        <w:t xml:space="preserve"> </w:t>
      </w:r>
      <w:r>
        <w:t xml:space="preserve">Figure 5, analyzed in Section 7).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</w:pPr>
      <w:r>
        <w:t xml:space="preserve">To ask what drives the LLM's cross-jurisdiction advantage, we vary the model and the prompt. A stronger</w:t>
      </w:r>
      <w:r>
        <w:t xml:space="preserve"> </w:t>
      </w:r>
      <w:r>
        <w:t xml:space="preserve">model widens it: gpt-4o reaches 0.704, significantly above gpt-4o-mini (0.655; paired bootstrap P&gt;0.99).</w:t>
      </w:r>
      <w:r>
        <w:t xml:space="preserve"> </w:t>
      </w:r>
      <w:r>
        <w:t xml:space="preserve">Clean in-context demonstrations add a modest further gain: one representative labeled exemplar per class drawn</w:t>
      </w:r>
      <w:r>
        <w:t xml:space="preserve"> </w:t>
      </w:r>
      <w:r>
        <w:t xml:space="preserve">from the training cities raises the cross-city score to 0.673 (bootstrap mean +0.025 over zero-shot, 95% CI</w:t>
      </w:r>
      <w:r>
        <w:t xml:space="preserve"> </w:t>
      </w:r>
      <w:r>
        <w:t xml:space="preserve">[+0.001, +0.075]). The larger prompt lever is the label space itself: stripping the glosses to class names alone</w:t>
      </w:r>
      <w:r>
        <w:t xml:space="preserve"> </w:t>
      </w:r>
      <w:r>
        <w:t xml:space="preserve">lifts the score to 0.700, near gpt-4o, so most of the signal is carried by the class names rather than their</w:t>
      </w:r>
      <w:r>
        <w:t xml:space="preserve"> </w:t>
      </w:r>
      <w:r>
        <w:t xml:space="preserve">descriptions or the demonstrations. The advantage therefore comes chiefly from the target-label</w:t>
      </w:r>
      <w:r>
        <w:t xml:space="preserve"> </w:t>
      </w:r>
      <w:r>
        <w:t xml:space="preserve">semantics that the taxonomy places in the prompt, largely captured by the class names, with smaller additive</w:t>
      </w:r>
      <w:r>
        <w:t xml:space="preserve"> </w:t>
      </w:r>
      <w:r>
        <w:t xml:space="preserve">contributions from clean demonstrations and from model scale (gpt-4o). As a pipeline check, running gpt-4o-mini</w:t>
      </w:r>
      <w:r>
        <w:t xml:space="preserve"> </w:t>
      </w:r>
      <w:r>
        <w:t xml:space="preserve">through the batch API reproduces the synchronous result (0.644 versus 0.655, not significant).</w:t>
      </w:r>
    </w:p>
    <w:p>
      <w:pPr>
        <w:pStyle w:val="BodyText"/>
      </w:pPr>
      <w:r>
        <w:t xml:space="preserve">We also widen the model families. A stronger encoder does not help transfer: fine-tuned RoBERTa reaches</w:t>
      </w:r>
      <w:r>
        <w:t xml:space="preserve"> </w:t>
      </w:r>
      <w:r>
        <w:t xml:space="preserve">0.839 in-city, above DistilBERT, but only 0.519 across cities, so the gap is not a weakness of the DistilBERT</w:t>
      </w:r>
      <w:r>
        <w:t xml:space="preserve"> </w:t>
      </w:r>
      <w:r>
        <w:t xml:space="preserve">baseline. Two zero-shot label-semantic methods that receive the class descriptions but no strong reasoning, a</w:t>
      </w:r>
      <w:r>
        <w:t xml:space="preserve"> </w:t>
      </w:r>
      <w:r>
        <w:t xml:space="preserve">sentence-transformer that matches each request to the nearest class-description embedding (0.510) and an NLI</w:t>
      </w:r>
      <w:r>
        <w:t xml:space="preserve"> </w:t>
      </w:r>
      <w:r>
        <w:t xml:space="preserve">entailment classifier (0.478), land at or below the classical TF-IDF baseline and far below the LLM. Access to</w:t>
      </w:r>
      <w:r>
        <w:t xml:space="preserve"> </w:t>
      </w:r>
      <w:r>
        <w:t xml:space="preserve">label semantics is therefore necessary but not sufficient: the zero-shot LLM's advantage combines the label</w:t>
      </w:r>
      <w:r>
        <w:t xml:space="preserve"> </w:t>
      </w:r>
      <w:r>
        <w:t xml:space="preserve">semantics in its prompt with its own capability, and neither a stronger encoder nor a simple label-matching</w:t>
      </w:r>
      <w:r>
        <w:t xml:space="preserve"> </w:t>
      </w:r>
      <w:r>
        <w:t xml:space="preserve">model reproduces it.</w:t>
      </w:r>
    </w:p>
    <w:p>
      <w:pPr>
        <w:pStyle w:val="BodyText"/>
      </w:pPr>
      <w:r>
        <w:t xml:space="preserve">Decomposing the cross-city macro-F1 by class shows where the advantage lives. On the head classes the LLM</w:t>
      </w:r>
      <w:r>
        <w:t xml:space="preserve"> </w:t>
      </w:r>
      <w:r>
        <w:t xml:space="preserve">and the trained model are close: Waste and Sanitation (1,305 test requests) 0.853 for the LLM versus 0.825 for</w:t>
      </w:r>
      <w:r>
        <w:t xml:space="preserve"> </w:t>
      </w:r>
      <w:r>
        <w:t xml:space="preserve">DistilBERT across cities, Graffiti 0.927 versus 0.914, Street Lighting 0.881 versus 0.868. The separation is</w:t>
      </w:r>
      <w:r>
        <w:t xml:space="preserve"> </w:t>
      </w:r>
      <w:r>
        <w:t xml:space="preserve">concentrated in rare, city-idiosyncratic classes on which the leave-one-city-out DistilBERT collapses to zero:</w:t>
      </w:r>
      <w:r>
        <w:t xml:space="preserve"> </w:t>
      </w:r>
      <w:r>
        <w:t xml:space="preserve">Noise (12) 0.000 to 0.759, Transit (21) 0.000 to 0.500, Homelessness (176) 0.380 to 0.830, Parking (224) 0.636</w:t>
      </w:r>
      <w:r>
        <w:t xml:space="preserve"> </w:t>
      </w:r>
      <w:r>
        <w:t xml:space="preserve">to 0.773. A model trained on the other cities cannot represent a class that is thin or absent in its source</w:t>
      </w:r>
      <w:r>
        <w:t xml:space="preserve"> </w:t>
      </w:r>
      <w:r>
        <w:t xml:space="preserve">pool, whereas the class name in the prompt lets the LLM recognize it directly. The cross-jurisdiction ranking is</w:t>
      </w:r>
      <w:r>
        <w:t xml:space="preserve"> </w:t>
      </w:r>
      <w:r>
        <w:t xml:space="preserve">therefore a tail-class phenomenon, not a uniform margin.</w:t>
      </w:r>
    </w:p>
    <w:bookmarkStart w:id="51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Three checks indicate the gap is genuine domain shift rather than an artifact of the split or the taxonomy.</w:t>
      </w:r>
      <w:r>
        <w:t xml:space="preserve"> </w:t>
      </w:r>
      <w:r>
        <w:rPr>
          <w:i/>
          <w:iCs/>
        </w:rPr>
        <w:t xml:space="preserve">Deduplication:</w:t>
      </w:r>
      <w:r>
        <w:t xml:space="preserve"> </w:t>
      </w:r>
      <w:r>
        <w:t xml:space="preserve">18,265 training rows shared their exact text with a test request in the same city;</w:t>
      </w:r>
      <w:r>
        <w:t xml:space="preserve"> </w:t>
      </w:r>
      <w:r>
        <w:t xml:space="preserve">removing them, together with corpus-wide exact duplicates, barely changes the picture (DistilBERT in-city</w:t>
      </w:r>
      <w:r>
        <w:t xml:space="preserve"> </w:t>
      </w:r>
      <w:r>
        <w:t xml:space="preserve">0.818, cross-city 0.539), so the roughly one-third drop is not produced by train-test overlap.</w:t>
      </w:r>
      <w:r>
        <w:t xml:space="preserve"> </w:t>
      </w:r>
      <w:r>
        <w:rPr>
          <w:i/>
          <w:iCs/>
        </w:rPr>
        <w:t xml:space="preserve">Taxonomy</w:t>
      </w:r>
      <w:r>
        <w:rPr>
          <w:i/>
          <w:iCs/>
        </w:rPr>
        <w:t xml:space="preserve"> </w:t>
      </w:r>
      <w:r>
        <w:rPr>
          <w:i/>
          <w:iCs/>
        </w:rPr>
        <w:t xml:space="preserve">coarsening:</w:t>
      </w:r>
      <w:r>
        <w:t xml:space="preserve"> </w:t>
      </w:r>
      <w:r>
        <w:t xml:space="preserve">merging the confusable neighboring classes into an eight-class ontology recovers four to seven</w:t>
      </w:r>
      <w:r>
        <w:t xml:space="preserve"> </w:t>
      </w:r>
      <w:r>
        <w:t xml:space="preserve">macro-F1 points for the trained models (TF-IDF cross-city 0.523 to 0.590, DistilBERT 0.557 to 0.601), which</w:t>
      </w:r>
      <w:r>
        <w:t xml:space="preserve"> </w:t>
      </w:r>
      <w:r>
        <w:t xml:space="preserve">quantifies the taxonomy-boundary share of the difficulty, yet the gap to in-city persists.</w:t>
      </w:r>
      <w:r>
        <w:t xml:space="preserve"> </w:t>
      </w:r>
      <w:r>
        <w:rPr>
          <w:i/>
          <w:iCs/>
        </w:rPr>
        <w:t xml:space="preserve">Temporal split:</w:t>
      </w:r>
      <w:r>
        <w:t xml:space="preserve"> </w:t>
      </w:r>
      <w:r>
        <w:t xml:space="preserve">for all seven cities, pulling each city's records ordered by its native creation timestamp, training on the</w:t>
      </w:r>
      <w:r>
        <w:t xml:space="preserve"> </w:t>
      </w:r>
      <w:r>
        <w:t xml:space="preserve">earliest 80% of requests and testing on the latest 20% lowers in-city macro-F1 by 0.051 on average (0.740</w:t>
      </w:r>
      <w:r>
        <w:t xml:space="preserve"> </w:t>
      </w:r>
      <w:r>
        <w:t xml:space="preserve">versus 0.791 for a random split on the same rows), with the largest single-city drop 0.12 (Honolulu). This</w:t>
      </w:r>
      <w:r>
        <w:t xml:space="preserve"> </w:t>
      </w:r>
      <w:r>
        <w:t xml:space="preserve">temporal degradation is real but roughly five times smaller than the cross-jurisdiction gap, so the transfer</w:t>
      </w:r>
      <w:r>
        <w:t xml:space="preserve"> </w:t>
      </w:r>
      <w:r>
        <w:t xml:space="preserve">gap is not an artifact of random splitting.</w:t>
      </w:r>
      <w:r>
        <w:t xml:space="preserve"> </w:t>
      </w:r>
      <w:r>
        <w:rPr>
          <w:i/>
          <w:iCs/>
        </w:rPr>
        <w:t xml:space="preserve">Model family and input length:</w:t>
      </w:r>
      <w:r>
        <w:t xml:space="preserve"> </w:t>
      </w:r>
      <w:r>
        <w:t xml:space="preserve">a stronger encoder and simple label-semantic classifiers,</w:t>
      </w:r>
      <w:r>
        <w:t xml:space="preserve"> </w:t>
      </w:r>
      <w:r>
        <w:t xml:space="preserve">above, do not close the gap either, and doubling the encoder's input to 128 tokens does not help (cross-city</w:t>
      </w:r>
      <w:r>
        <w:t xml:space="preserve"> </w:t>
      </w:r>
      <w:r>
        <w:t xml:space="preserve">0.537 versus 0.557). The gap is not specific to one architecture, split, taxonomy granularity, or sequence</w:t>
      </w:r>
      <w:r>
        <w:t xml:space="preserve"> </w:t>
      </w:r>
      <w:r>
        <w:t xml:space="preserve">length.</w:t>
      </w:r>
    </w:p>
    <w:p>
      <w:pPr>
        <w:pStyle w:val="BodyText"/>
      </w:pPr>
      <w:r>
        <w:t xml:space="preserve">Performance varies sharply across held-out cities (Figure 4),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6" name="Picture"/>
            <a:graphic>
              <a:graphicData uri="http://schemas.openxmlformats.org/drawingml/2006/picture">
                <pic:pic>
                  <pic:nvPicPr>
                    <pic:cNvPr descr="fig_percit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p>
      <w:pPr>
        <w:pStyle w:val="CaptionedFigure"/>
      </w:pPr>
      <w:r>
        <w:drawing>
          <wp:inline>
            <wp:extent cx="5334000" cy="4525818"/>
            <wp:effectExtent b="0" l="0" r="0" t="0"/>
            <wp:docPr descr="City-to-city transfer matrix" title="" id="49" name="Picture"/>
            <a:graphic>
              <a:graphicData uri="http://schemas.openxmlformats.org/drawingml/2006/picture">
                <pic:pic>
                  <pic:nvPicPr>
                    <pic:cNvPr descr="fig_transfer_matrix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Full 7×7 city-to-city TF-IDF transfer (train on the row city,</w:t>
      </w:r>
      <w:r>
        <w:t xml:space="preserve"> </w:t>
      </w:r>
      <w:r>
        <w:t xml:space="preserve">test on the column city). Single-source cross-city transfer averages 0.247 macro-F1, far below the</w:t>
      </w:r>
      <w:r>
        <w:t xml:space="preserve"> </w:t>
      </w:r>
      <w:r>
        <w:t xml:space="preserve">multi-source leave-one-city-out result, and the SeeClickFix pair transfers asymmetrically.</w:t>
      </w:r>
    </w:p>
    <w:p>
      <w:pPr>
        <w:pStyle w:val="BodyText"/>
      </w:pPr>
      <w:r>
        <w:t xml:space="preserve">The full city-to-city matrix (Figure 5) makes the multi-source benefit concrete: training on a single</w:t>
      </w:r>
      <w:r>
        <w:t xml:space="preserve"> </w:t>
      </w:r>
      <w:r>
        <w:t xml:space="preserve">other city and testing on a target averages 0.247 macro-F1, less than half the leave-one-city-out result</w:t>
      </w:r>
      <w:r>
        <w:t xml:space="preserve"> </w:t>
      </w:r>
      <w:r>
        <w:t xml:space="preserve">(0.523 for TF-IDF), so pooling several source cities is worth far more than any single source. The structure</w:t>
      </w:r>
      <w:r>
        <w:t xml:space="preserve"> </w:t>
      </w:r>
      <w:r>
        <w:t xml:space="preserve">is not explained by shared platform alone; the two SeeClickFix cities transfer asymmetrically (Auburn to</w:t>
      </w:r>
      <w:r>
        <w:t xml:space="preserve"> </w:t>
      </w:r>
      <w:r>
        <w:t xml:space="preserve">Richmond 0.58, Richmond to Auburn 0.34), consistent with the inconclusive same-platform probe above.</w:t>
      </w:r>
    </w:p>
    <w:p>
      <w:pPr>
        <w:pStyle w:val="BodyText"/>
      </w:pPr>
      <w:r>
        <w:t xml:space="preserve">Transfer difficulty is partly predictable from how far apart two cities' corpora are. Across the 30 city</w:t>
      </w:r>
      <w:r>
        <w:t xml:space="preserve"> </w:t>
      </w:r>
      <w:r>
        <w:t xml:space="preserve">pairs that exclude the degenerate San Francisco cell (whose single-source transfer is uniformly near zero),</w:t>
      </w:r>
      <w:r>
        <w:t xml:space="preserve"> </w:t>
      </w:r>
      <w:r>
        <w:t xml:space="preserve">single-source transfer correlates negatively with vocabulary divergence between the two cities</w:t>
      </w:r>
      <w:r>
        <w:t xml:space="preserve"> </w:t>
      </w:r>
      <w:r>
        <w:t xml:space="preserve">(Spearman ρ = −0.54, p = 0.002); the class-distribution and text-length distances and the shared-platform</w:t>
      </w:r>
      <w:r>
        <w:t xml:space="preserve"> </w:t>
      </w:r>
      <w:r>
        <w:t xml:space="preserve">indicator are not significant, and with a single same-platform pair the platform test is underpowered. Including</w:t>
      </w:r>
      <w:r>
        <w:t xml:space="preserve"> </w:t>
      </w:r>
      <w:r>
        <w:t xml:space="preserve">San Francisco inflates the vocabulary correlation to ρ = −0.83, so we report the San Francisco-excluded</w:t>
      </w:r>
      <w:r>
        <w:t xml:space="preserve"> </w:t>
      </w:r>
      <w:r>
        <w:t xml:space="preserve">value. Cross-jurisdiction degradation therefore tracks lexical shift between cities, which a shared taxonomy</w:t>
      </w:r>
      <w:r>
        <w:t xml:space="preserve"> </w:t>
      </w:r>
      <w:r>
        <w:t xml:space="preserve">alone cannot remove.</w:t>
      </w:r>
    </w:p>
    <w:bookmarkEnd w:id="51"/>
    <w:bookmarkEnd w:id="52"/>
    <w:bookmarkStart w:id="60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 Because</w:t>
      </w:r>
      <w:r>
        <w:t xml:space="preserve"> </w:t>
      </w:r>
      <w:r>
        <w:t xml:space="preserve">the mean acceptable set spans only 1.37 of the 14 classes, a randomly chosen label is judge-accepted just 9.8%</w:t>
      </w:r>
      <w:r>
        <w:t xml:space="preserve"> </w:t>
      </w:r>
      <w:r>
        <w:t xml:space="preserve">of the time and a constant majority-class predictor reaches 0.414 defensibility-adjusted accuracy; the lenient</w:t>
      </w:r>
      <w:r>
        <w:t xml:space="preserve"> </w:t>
      </w:r>
      <w:r>
        <w:t xml:space="preserve">scores below are read against these floors, so the metric is discriminating rather than vacuously generous.</w:t>
      </w:r>
    </w:p>
    <w:p>
      <w:pPr>
        <w:pStyle w:val="BodyText"/>
      </w:pPr>
      <w:r>
        <w:t xml:space="preserve">The judge also disagrees with the city's own label on 14.2%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54" name="Picture"/>
            <a:graphic>
              <a:graphicData uri="http://schemas.openxmlformats.org/drawingml/2006/picture">
                <pic:pic>
                  <pic:nvPicPr>
                    <pic:cNvPr descr="fig_defensibilit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6):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The correction is consequential, not</w:t>
      </w:r>
      <w:r>
        <w:t xml:space="preserve"> </w:t>
      </w:r>
      <w:r>
        <w:t xml:space="preserve">cosmetic: it erases a significant difference between the two strongest models. gpt-4o beats gpt-4o-mini on</w:t>
      </w:r>
      <w:r>
        <w:t xml:space="preserve"> </w:t>
      </w:r>
      <w:r>
        <w:t xml:space="preserve">strict accuracy by a clear margin (0.832 versus 0.798, paired bootstrap P&gt;0.99), but under the</w:t>
      </w:r>
      <w:r>
        <w:t xml:space="preserve"> </w:t>
      </w:r>
      <w:r>
        <w:t xml:space="preserve">defensibility-adjusted metric the two are statistically indistinguishable (0.981 versus 0.979, 95% CI on the</w:t>
      </w:r>
      <w:r>
        <w:t xml:space="preserve"> </w:t>
      </w:r>
      <w:r>
        <w:t xml:space="preserve">difference [−0.003, +0.007]). Whether the benchmark separates them at all depends on whether its labels</w:t>
      </w:r>
      <w:r>
        <w:t xml:space="preserve"> </w:t>
      </w:r>
      <w:r>
        <w:t xml:space="preserve">are read as ground truth or as one defensible answer among several. To test whether this reflects same-family</w:t>
      </w:r>
      <w:r>
        <w:t xml:space="preserve"> </w:t>
      </w:r>
      <w:r>
        <w:t xml:space="preserve">self-agreement, we repeated the acceptable-set judgment with an independent judge from a different model</w:t>
      </w:r>
      <w:r>
        <w:t xml:space="preserve"> </w:t>
      </w:r>
      <w:r>
        <w:t xml:space="preserve">family (gemini-2.5-flash). The two judges agree on the acceptable set for 75% of requests (mean Jaccard 0.86),</w:t>
      </w:r>
      <w:r>
        <w:t xml:space="preserve"> </w:t>
      </w:r>
      <w:r>
        <w:t xml:space="preserve">and the lenient scores barely move: the LLM's cross-city accuracy is 0.964 under the independent judge versus</w:t>
      </w:r>
      <w:r>
        <w:t xml:space="preserve"> </w:t>
      </w:r>
      <w:r>
        <w:t xml:space="preserve">0.981 under gpt-4o-mini, and DistilBERT's and TF-IDF's shift by under 0.01. Even the two-judge consensus, where</w:t>
      </w:r>
      <w:r>
        <w:t xml:space="preserve"> </w:t>
      </w:r>
      <w:r>
        <w:t xml:space="preserve">both judges reject the city label, finds 9.6% of city labels textually unsupported. The effect is therefore</w:t>
      </w:r>
      <w:r>
        <w:t xml:space="preserve"> </w:t>
      </w:r>
      <w:r>
        <w:t xml:space="preserve">not an artifact of same-family judging; human validation of a subset remains the natural next step (Section 9).</w:t>
      </w:r>
    </w:p>
    <w:p>
      <w:pPr>
        <w:pStyle w:val="BodyText"/>
      </w:pPr>
      <w:r>
        <w:t xml:space="preserve">The separation between the LLM and the trained models lives precisely where a single answer exists. On the</w:t>
      </w:r>
      <w:r>
        <w:t xml:space="preserve"> </w:t>
      </w:r>
      <w:r>
        <w:t xml:space="preserve">requests the judge marks unambiguous (a single acceptable label, 2,329 of 3,502), the LLM's cross-city accuracy</w:t>
      </w:r>
      <w:r>
        <w:t xml:space="preserve"> </w:t>
      </w:r>
      <w:r>
        <w:t xml:space="preserve">is 0.850 against 0.776 for DistilBERT; on the multi-label requests the two converge (0.695 and 0.691), because</w:t>
      </w:r>
      <w:r>
        <w:t xml:space="preserve"> </w:t>
      </w:r>
      <w:r>
        <w:t xml:space="preserve">there is no single target to separate on. A router that auto-routes judge-unambiguous requests and escalates the</w:t>
      </w:r>
      <w:r>
        <w:t xml:space="preserve"> </w:t>
      </w:r>
      <w:r>
        <w:t xml:space="preserve">multi-label ones is a direct use of this structure.</w:t>
      </w:r>
    </w:p>
    <w:p>
      <w:pPr>
        <w:pStyle w:val="BodyText"/>
      </w:pPr>
      <w:r>
        <w:t xml:space="preserve">The two-judge consensus also functions as a corpus audit. Tracing the requests both judges reject back to</w:t>
      </w:r>
      <w:r>
        <w:t xml:space="preserve"> </w:t>
      </w:r>
      <w:r>
        <w:t xml:space="preserve">their native categories exposed five harmonization-rule errors, where a keyword fired the wrong first-match:</w:t>
      </w:r>
      <w:r>
        <w:t xml:space="preserve"> </w:t>
      </w:r>
      <w:r>
        <w:t xml:space="preserve">garbage-collection reports routed to drainage through a "leak" token, sewer backups routed to waste through a</w:t>
      </w:r>
      <w:r>
        <w:t xml:space="preserve"> </w:t>
      </w:r>
      <w:r>
        <w:t xml:space="preserve">"backup" token, and street grading routed to waste. Correcting the rules relabels 619 corpus rows (7 of the</w:t>
      </w:r>
      <w:r>
        <w:t xml:space="preserve"> </w:t>
      </w:r>
      <w:r>
        <w:t xml:space="preserve">3,502 test rows); every pooled macro-F1 moves by at most 0.001, so the results below stand on the corrected</w:t>
      </w:r>
      <w:r>
        <w:t xml:space="preserve"> </w:t>
      </w:r>
      <w:r>
        <w:t xml:space="preserve">corpus, which is the one released. The measured cross-jurisdiction gap therefore conflates three effects this</w:t>
      </w:r>
      <w:r>
        <w:t xml:space="preserve"> </w:t>
      </w:r>
      <w:r>
        <w:t xml:space="preserve">analysis makes visible without cleanly separating: genuine domain shift between cities, non-comparability of the</w:t>
      </w:r>
      <w:r>
        <w:t xml:space="preserve"> </w:t>
      </w:r>
      <w:r>
        <w:t xml:space="preserve">harmonized taxonomy at its boundaries, and text-label mismatch. The confusion structure identifies where the</w:t>
      </w:r>
      <w:r>
        <w:t xml:space="preserve"> </w:t>
      </w:r>
      <w:r>
        <w:t xml:space="preserve">boundary effects concentrate (Figure 7).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57" name="Picture"/>
            <a:graphic>
              <a:graphicData uri="http://schemas.openxmlformats.org/drawingml/2006/picture">
                <pic:pic>
                  <pic:nvPicPr>
                    <pic:cNvPr descr="fig_confu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</w:t>
      </w:r>
    </w:p>
    <w:p>
      <w:pPr>
        <w:pStyle w:val="BodyText"/>
      </w:pPr>
      <w:r>
        <w:t xml:space="preserve">The disagreement between annotators and the confusion between models are the same object. Correlating the</w:t>
      </w:r>
      <w:r>
        <w:t xml:space="preserve"> </w:t>
      </w:r>
      <w:r>
        <w:t xml:space="preserve">two-judge co-acceptability graph over the 14 classes (how often a pair of labels is jointly acceptable for one</w:t>
      </w:r>
      <w:r>
        <w:t xml:space="preserve"> </w:t>
      </w:r>
      <w:r>
        <w:t xml:space="preserve">request) with the cross-city confusion matrix gives Spearman ρ = 0.75 (p &lt; 10</w:t>
      </w:r>
      <w:r>
        <w:rPr>
          <w:vertAlign w:val="superscript"/>
        </w:rPr>
        <w:t xml:space="preserve">−17</w:t>
      </w:r>
      <w:r>
        <w:t xml:space="preserve">; ρ = 0.63</w:t>
      </w:r>
      <w:r>
        <w:t xml:space="preserve"> </w:t>
      </w:r>
      <w:r>
        <w:t xml:space="preserve">after partialling out the product of the two classes' frequencies, so this is not a frequency artifact): the</w:t>
      </w:r>
      <w:r>
        <w:t xml:space="preserve"> </w:t>
      </w:r>
      <w:r>
        <w:t xml:space="preserve">pairs a judge accepts interchangeably, Trees and Waste, Streets and Trees, Homelessness and Waste, are the pairs</w:t>
      </w:r>
      <w:r>
        <w:t xml:space="preserve"> </w:t>
      </w:r>
      <w:r>
        <w:t xml:space="preserve">the trained model mixes up. The cross-jurisdiction gap is concentrated where the taxonomy is ambiguous, not</w:t>
      </w:r>
      <w:r>
        <w:t xml:space="preserve"> </w:t>
      </w:r>
      <w:r>
        <w:t xml:space="preserve">spread evenly across the label space.</w:t>
      </w:r>
    </w:p>
    <w:p>
      <w:pPr>
        <w:pStyle w:val="BodyText"/>
      </w:pPr>
      <w:r>
        <w:t xml:space="preserve">This turns the boundary into a design lever. Agglomerating the classes by co-acceptability yields a</w:t>
      </w:r>
      <w:r>
        <w:t xml:space="preserve"> </w:t>
      </w:r>
      <w:r>
        <w:t xml:space="preserve">data-driven ontology whose merges are auditable and coincide with the confusion of Figure 7. Because the</w:t>
      </w:r>
      <w:r>
        <w:t xml:space="preserve"> </w:t>
      </w:r>
      <w:r>
        <w:t xml:space="preserve">ambiguity is concentrated on a few pairs, a targeted merge removes most of it: at ten classes the derived</w:t>
      </w:r>
      <w:r>
        <w:t xml:space="preserve"> </w:t>
      </w:r>
      <w:r>
        <w:t xml:space="preserve">taxonomy leaves 20% of requests multi-acceptable against 31% for the average equal-size random merge, and at</w:t>
      </w:r>
      <w:r>
        <w:t xml:space="preserve"> </w:t>
      </w:r>
      <w:r>
        <w:t xml:space="preserve">eight classes 12% against 26%, lower than every one of 200 random merges with matched cluster sizes at each</w:t>
      </w:r>
      <w:r>
        <w:t xml:space="preserve"> </w:t>
      </w:r>
      <w:r>
        <w:t xml:space="preserve">granularity. The output is a concrete ontology revision a 311 consortium could adopt, derived from measured</w:t>
      </w:r>
      <w:r>
        <w:t xml:space="preserve"> </w:t>
      </w:r>
      <w:r>
        <w:t xml:space="preserve">ambiguity rather than intuition.</w:t>
      </w:r>
    </w:p>
    <w:bookmarkStart w:id="59" w:name="repairing-labels-for-training"/>
    <w:p>
      <w:pPr>
        <w:pStyle w:val="Heading3"/>
      </w:pPr>
      <w:r>
        <w:t xml:space="preserve">Repairing labels for training</w:t>
      </w:r>
    </w:p>
    <w:p>
      <w:pPr>
        <w:pStyle w:val="FirstParagraph"/>
      </w:pPr>
      <w:r>
        <w:t xml:space="preserve">The judge is also a training signal, which turns the diagnosis into an intervention. For each</w:t>
      </w:r>
      <w:r>
        <w:t xml:space="preserve"> </w:t>
      </w:r>
      <w:r>
        <w:t xml:space="preserve">leave-one-city-out fold we relabel the training requests whose recorded label the judge rejects (12.3% to 13.3%</w:t>
      </w:r>
      <w:r>
        <w:t xml:space="preserve"> </w:t>
      </w:r>
      <w:r>
        <w:t xml:space="preserve">per fold) to a judge-acceptable label, and fine-tune DistilBERT on the repaired pool. Pooled cross-city</w:t>
      </w:r>
      <w:r>
        <w:t xml:space="preserve"> </w:t>
      </w:r>
      <w:r>
        <w:t xml:space="preserve">macro-F1 rises from 0.559 on the raw labels to 0.615 (paired bootstrap +0.055, 95% CI [0.029, 0.080]). The gain</w:t>
      </w:r>
      <w:r>
        <w:t xml:space="preserve"> </w:t>
      </w:r>
      <w:r>
        <w:t xml:space="preserve">is the judge's signal rather than relabeling in itself: relabeling the same rows to a random class instead</w:t>
      </w:r>
      <w:r>
        <w:t xml:space="preserve"> </w:t>
      </w:r>
      <w:r>
        <w:t xml:space="preserve">reaches only 0.573, so the repaired-over-random margin is +0.041 (95% CI [0.018, 0.063]), and the judge</w:t>
      </w:r>
      <w:r>
        <w:t xml:space="preserve"> </w:t>
      </w:r>
      <w:r>
        <w:t xml:space="preserve">condition beats the random control on six of the seven folds. The improvement is a pooled, common-class effect</w:t>
      </w:r>
      <w:r>
        <w:t xml:space="preserve"> </w:t>
      </w:r>
      <w:r>
        <w:t xml:space="preserve">and varies by held-out city, with four of the seven cities improving; it is a pooled gain, not a uniform one.</w:t>
      </w:r>
      <w:r>
        <w:t xml:space="preserve"> </w:t>
      </w:r>
      <w:r>
        <w:t xml:space="preserve">Repairing administrative labels with the protocol therefore produces models that transfer measurably better,</w:t>
      </w:r>
      <w:r>
        <w:t xml:space="preserve"> </w:t>
      </w:r>
      <w:r>
        <w:t xml:space="preserve">and the random-relabel control shows the improvement tracks what the judges certify, not the act of changing</w:t>
      </w:r>
      <w:r>
        <w:t xml:space="preserve"> </w:t>
      </w:r>
      <w:r>
        <w:t xml:space="preserve">labels.</w:t>
      </w:r>
    </w:p>
    <w:bookmarkEnd w:id="59"/>
    <w:bookmarkEnd w:id="60"/>
    <w:bookmarkStart w:id="61" w:name="discussion"/>
    <w:p>
      <w:pPr>
        <w:pStyle w:val="Heading2"/>
      </w:pPr>
      <w:r>
        <w:t xml:space="preserve">8. Discussion</w:t>
      </w:r>
    </w:p>
    <w:p>
      <w:pPr>
        <w:pStyle w:val="FirstParagraph"/>
      </w:pPr>
      <w:r>
        <w:t xml:space="preserve">For civic-technology deployment, the result is a caution and an option. Across the seven jurisdictions</w:t>
      </w:r>
      <w:r>
        <w:t xml:space="preserve"> </w:t>
      </w:r>
      <w:r>
        <w:t xml:space="preserve">studied here, supervised transfer to an unseen city cost roughly a third of the in-domain macro-F1, driven</w:t>
      </w:r>
      <w:r>
        <w:t xml:space="preserve"> </w:t>
      </w:r>
      <w:r>
        <w:t xml:space="preserve">substantially by taxonomy mismatch rather than by the model; we do not claim a universal figure from seven</w:t>
      </w:r>
      <w:r>
        <w:t xml:space="preserve"> </w:t>
      </w:r>
      <w:r>
        <w:t xml:space="preserve">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61"/>
    <w:bookmarkStart w:id="62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14.2%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We mitigate same-family bias between the judge and the</w:t>
      </w:r>
      <w:r>
        <w:t xml:space="preserve"> </w:t>
      </w:r>
      <w:r>
        <w:t xml:space="preserve">zero-shot arm by confirming the defensibility effect with an independent-family judge (Section 7), which</w:t>
      </w:r>
      <w:r>
        <w:t xml:space="preserve"> </w:t>
      </w:r>
      <w:r>
        <w:t xml:space="preserve">leaves the lenient scores nearly unchanged; a multi-annotator human study remains the definitive check.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62"/>
    <w:bookmarkStart w:id="63" w:name="ethics-and-data"/>
    <w:p>
      <w:pPr>
        <w:pStyle w:val="Heading2"/>
      </w:pPr>
      <w:r>
        <w:t xml:space="preserve">10. Ethics and data</w:t>
      </w:r>
    </w:p>
    <w:p>
      <w:pPr>
        <w:pStyle w:val="FirstParagrap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63"/>
    <w:bookmarkStart w:id="65" w:name="reproducibility"/>
    <w:p>
      <w:pPr>
        <w:pStyle w:val="Heading2"/>
      </w:pPr>
      <w:r>
        <w:t xml:space="preserve">11. Reproducibility</w:t>
      </w:r>
    </w:p>
    <w:p>
      <w:pPr>
        <w:pStyle w:val="FirstParagrap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 A</w:t>
      </w:r>
      <w:r>
        <w:t xml:space="preserve"> </w:t>
      </w:r>
      <w:hyperlink r:id="rId64">
        <w:r>
          <w:rPr>
            <w:rStyle w:val="Hyperlink"/>
          </w:rPr>
          <w:t xml:space="preserve">datasheet for the dataset</w:t>
        </w:r>
      </w:hyperlink>
      <w:r>
        <w:t xml:space="preserve"> </w:t>
      </w:r>
      <w:r>
        <w:t xml:space="preserve">(Gebru</w:t>
      </w:r>
      <w:r>
        <w:t xml:space="preserve"> </w:t>
      </w:r>
      <w:r>
        <w:t xml:space="preserve">et al.) accompanies the release.</w:t>
      </w:r>
    </w:p>
    <w:bookmarkEnd w:id="65"/>
    <w:bookmarkStart w:id="91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Benchmarks built from administrative labels measure two things at once: how well a model reads text, and how</w:t>
      </w:r>
      <w:r>
        <w:t xml:space="preserve"> </w:t>
      </w:r>
      <w:r>
        <w:t xml:space="preserve">well an institution's recorded category matches that text. We introduced a defensibility protocol, two blind</w:t>
      </w:r>
      <w:r>
        <w:t xml:space="preserve"> </w:t>
      </w:r>
      <w:r>
        <w:t xml:space="preserve">cross-family LLM judges with discriminant floors and a corpus-audit loop, that separates the two, and we</w:t>
      </w:r>
      <w:r>
        <w:t xml:space="preserve"> </w:t>
      </w:r>
      <w:r>
        <w:t xml:space="preserve">instantiated it on MC311, the first public multi-city free-text 311 benchmark. On MC311 the protocol shows that</w:t>
      </w:r>
      <w:r>
        <w:t xml:space="preserve"> </w:t>
      </w:r>
      <w:r>
        <w:t xml:space="preserve">most of the apparent cross-jurisdiction gap is defensible-label disagreement rather than model failure, that the</w:t>
      </w:r>
      <w:r>
        <w:t xml:space="preserve"> </w:t>
      </w:r>
      <w:r>
        <w:t xml:space="preserve">a significant gap between the two strongest models vanishes under the defensibility-adjusted metric, that annotator ambiguity and model</w:t>
      </w:r>
      <w:r>
        <w:t xml:space="preserve"> </w:t>
      </w:r>
      <w:r>
        <w:t xml:space="preserve">confusion fall on the same class boundaries (Spearman 0.75), and that relabeling judge-rejected training rows</w:t>
      </w:r>
      <w:r>
        <w:t xml:space="preserve"> </w:t>
      </w:r>
      <w:r>
        <w:t xml:space="preserve">improves pooled cross-jurisdiction transfer over both the raw labels and a random-relabel control. Run as an</w:t>
      </w:r>
      <w:r>
        <w:t xml:space="preserve"> </w:t>
      </w:r>
      <w:r>
        <w:t xml:space="preserve">audit, it located five real mapping errors in the corpus. The benchmark, its harmonization, and the protocol are released so that any</w:t>
      </w:r>
      <w:r>
        <w:t xml:space="preserve"> </w:t>
      </w:r>
      <w:r>
        <w:t xml:space="preserve">administrative-label benchmark can measure the distance between its labels and its text.</w:t>
      </w:r>
    </w:p>
    <w:p>
      <w:r>
        <w:pict>
          <v:rect style="width:0;height:1.5pt" o:hralign="center" o:hrstd="t" o:hr="t"/>
        </w:pict>
      </w:r>
    </w:p>
    <w:bookmarkStart w:id="90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66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66"/>
    </w:p>
    <w:p>
      <w:pPr>
        <w:pStyle w:val="Compact"/>
        <w:numPr>
          <w:ilvl w:val="0"/>
          <w:numId w:val="1002"/>
        </w:numPr>
      </w:pPr>
      <w:bookmarkStart w:id="67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67"/>
    </w:p>
    <w:p>
      <w:pPr>
        <w:pStyle w:val="Compact"/>
        <w:numPr>
          <w:ilvl w:val="0"/>
          <w:numId w:val="1002"/>
        </w:numPr>
      </w:pPr>
      <w:bookmarkStart w:id="68" w:name="r3"/>
      <w:r>
        <w:t xml:space="preserve">Sukel, M., Rudinac, S., &amp; Worring, M. (2019). Multimodal Classification of Urban Micro-Events. arXiv:1904.13349.</w:t>
      </w:r>
      <w:bookmarkEnd w:id="68"/>
    </w:p>
    <w:p>
      <w:pPr>
        <w:pStyle w:val="Compact"/>
        <w:numPr>
          <w:ilvl w:val="0"/>
          <w:numId w:val="1002"/>
        </w:numPr>
      </w:pPr>
      <w:bookmarkStart w:id="69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69"/>
    </w:p>
    <w:p>
      <w:pPr>
        <w:pStyle w:val="Compact"/>
        <w:numPr>
          <w:ilvl w:val="0"/>
          <w:numId w:val="1002"/>
        </w:numPr>
      </w:pPr>
      <w:bookmarkStart w:id="70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70"/>
    </w:p>
    <w:p>
      <w:pPr>
        <w:pStyle w:val="Compact"/>
        <w:numPr>
          <w:ilvl w:val="0"/>
          <w:numId w:val="1002"/>
        </w:numPr>
      </w:pPr>
      <w:bookmarkStart w:id="71" w:name="r6"/>
      <w:r>
        <w:t xml:space="preserve">Yuan, X., et al. (2023). Out-of-Distribution Generalization in Text Classification: Past, Present, and Future. arXiv:2305.14104.</w:t>
      </w:r>
      <w:bookmarkEnd w:id="71"/>
    </w:p>
    <w:p>
      <w:pPr>
        <w:pStyle w:val="Compact"/>
        <w:numPr>
          <w:ilvl w:val="0"/>
          <w:numId w:val="1002"/>
        </w:numPr>
      </w:pPr>
      <w:bookmarkStart w:id="72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72"/>
    </w:p>
    <w:p>
      <w:pPr>
        <w:pStyle w:val="Compact"/>
        <w:numPr>
          <w:ilvl w:val="0"/>
          <w:numId w:val="1002"/>
        </w:numPr>
      </w:pPr>
      <w:bookmarkStart w:id="73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73"/>
    </w:p>
    <w:p>
      <w:pPr>
        <w:pStyle w:val="Compact"/>
        <w:numPr>
          <w:ilvl w:val="0"/>
          <w:numId w:val="1002"/>
        </w:numPr>
      </w:pPr>
      <w:bookmarkStart w:id="74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74"/>
    </w:p>
    <w:p>
      <w:pPr>
        <w:pStyle w:val="Compact"/>
        <w:numPr>
          <w:ilvl w:val="0"/>
          <w:numId w:val="1002"/>
        </w:numPr>
      </w:pPr>
      <w:bookmarkStart w:id="75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75"/>
    </w:p>
    <w:p>
      <w:pPr>
        <w:pStyle w:val="Compact"/>
        <w:numPr>
          <w:ilvl w:val="0"/>
          <w:numId w:val="1002"/>
        </w:numPr>
      </w:pPr>
      <w:bookmarkStart w:id="76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76"/>
    </w:p>
    <w:p>
      <w:pPr>
        <w:pStyle w:val="Compact"/>
        <w:numPr>
          <w:ilvl w:val="0"/>
          <w:numId w:val="1002"/>
        </w:numPr>
      </w:pPr>
      <w:bookmarkStart w:id="77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77"/>
    </w:p>
    <w:p>
      <w:pPr>
        <w:pStyle w:val="Compact"/>
        <w:numPr>
          <w:ilvl w:val="0"/>
          <w:numId w:val="1002"/>
        </w:numPr>
      </w:pPr>
      <w:bookmarkStart w:id="78" w:name="r13"/>
      <w:r>
        <w:t xml:space="preserve">Kontokosta, C. E., &amp; Hong, B. (2017). Equity in 311 Reporting: Socio-Spatial Differentials in the Propensity to Complain. arXiv:1710.02452.</w:t>
      </w:r>
      <w:bookmarkEnd w:id="78"/>
    </w:p>
    <w:p>
      <w:pPr>
        <w:pStyle w:val="Compact"/>
        <w:numPr>
          <w:ilvl w:val="0"/>
          <w:numId w:val="1002"/>
        </w:numPr>
      </w:pPr>
      <w:bookmarkStart w:id="79" w:name="r14"/>
      <w:r>
        <w:t xml:space="preserve">Ramponi, A., &amp; Plank, B. (2020). Neural Unsupervised Domain Adaptation in NLP: A Survey.</w:t>
      </w:r>
      <w:r>
        <w:t xml:space="preserve"> </w:t>
      </w:r>
      <w:r>
        <w:rPr>
          <w:i/>
          <w:iCs/>
        </w:rPr>
        <w:t xml:space="preserve">COLING</w:t>
      </w:r>
      <w:r>
        <w:t xml:space="preserve">. aclanthology.org/2020.coling-main.603.</w:t>
      </w:r>
      <w:bookmarkEnd w:id="79"/>
    </w:p>
    <w:p>
      <w:pPr>
        <w:pStyle w:val="Compact"/>
        <w:numPr>
          <w:ilvl w:val="0"/>
          <w:numId w:val="1002"/>
        </w:numPr>
      </w:pPr>
      <w:bookmarkStart w:id="80" w:name="r15"/>
      <w:r>
        <w:t xml:space="preserve">Plank, B. (2022). The "Problem" of Human Label Variation: On Ground Truth in Data, Modeling and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. arXiv:2211.02570.</w:t>
      </w:r>
      <w:bookmarkEnd w:id="80"/>
    </w:p>
    <w:p>
      <w:pPr>
        <w:pStyle w:val="Compact"/>
        <w:numPr>
          <w:ilvl w:val="0"/>
          <w:numId w:val="1002"/>
        </w:numPr>
      </w:pPr>
      <w:bookmarkStart w:id="81" w:name="r16"/>
      <w:r>
        <w:t xml:space="preserve">Uma, A., Fornaciari, T., Hovy, D., Paun, S., Plank, B., &amp; Poesio, M. (2021). Learning from Disagreement: A Survey.</w:t>
      </w:r>
      <w:r>
        <w:t xml:space="preserve"> </w:t>
      </w:r>
      <w:r>
        <w:rPr>
          <w:i/>
          <w:iCs/>
        </w:rPr>
        <w:t xml:space="preserve">JAIR</w:t>
      </w:r>
      <w:r>
        <w:t xml:space="preserve">, 72, 1385-1470.</w:t>
      </w:r>
      <w:bookmarkEnd w:id="81"/>
    </w:p>
    <w:p>
      <w:pPr>
        <w:pStyle w:val="Compact"/>
        <w:numPr>
          <w:ilvl w:val="0"/>
          <w:numId w:val="1002"/>
        </w:numPr>
      </w:pPr>
      <w:bookmarkStart w:id="82" w:name="r17"/>
      <w:r>
        <w:t xml:space="preserve">Leonardelli, E., et al. (2023). SemEval-2023 Task 11: Learning with Disagreements (LeWiDi).</w:t>
      </w:r>
      <w:r>
        <w:t xml:space="preserve"> </w:t>
      </w:r>
      <w:r>
        <w:rPr>
          <w:i/>
          <w:iCs/>
        </w:rPr>
        <w:t xml:space="preserve">SemEval</w:t>
      </w:r>
      <w:r>
        <w:t xml:space="preserve">. arXiv:2304.14803.</w:t>
      </w:r>
      <w:bookmarkEnd w:id="82"/>
    </w:p>
    <w:p>
      <w:pPr>
        <w:pStyle w:val="Compact"/>
        <w:numPr>
          <w:ilvl w:val="0"/>
          <w:numId w:val="1002"/>
        </w:numPr>
      </w:pPr>
      <w:bookmarkStart w:id="83" w:name="r18"/>
      <w:r>
        <w:t xml:space="preserve">Nalchigar, S., &amp; Fox, M. S. (2017). Achieving Interoperability of Smart City Data: An Analysis of 311 Data.</w:t>
      </w:r>
      <w:r>
        <w:t xml:space="preserve"> </w:t>
      </w:r>
      <w:r>
        <w:rPr>
          <w:i/>
          <w:iCs/>
        </w:rPr>
        <w:t xml:space="preserve">Journal of Smart Cities</w:t>
      </w:r>
      <w:r>
        <w:t xml:space="preserve">, 3(1).</w:t>
      </w:r>
      <w:bookmarkEnd w:id="83"/>
    </w:p>
    <w:p>
      <w:pPr>
        <w:pStyle w:val="Compact"/>
        <w:numPr>
          <w:ilvl w:val="0"/>
          <w:numId w:val="1002"/>
        </w:numPr>
      </w:pPr>
      <w:bookmarkStart w:id="84" w:name="r19"/>
      <w:r>
        <w:t xml:space="preserve">Mullenbach, J., Wiegreffe, S., Duke, J., Sun, J., &amp; Eisenstein, J. (2018). Explainable Prediction of Medical Codes from Clinical Text.</w:t>
      </w:r>
      <w:r>
        <w:t xml:space="preserve"> </w:t>
      </w:r>
      <w:r>
        <w:rPr>
          <w:i/>
          <w:iCs/>
        </w:rPr>
        <w:t xml:space="preserve">NAACL-HLT</w:t>
      </w:r>
      <w:r>
        <w:t xml:space="preserve">. arXiv:1802.05695.</w:t>
      </w:r>
      <w:bookmarkEnd w:id="84"/>
    </w:p>
    <w:p>
      <w:pPr>
        <w:pStyle w:val="Compact"/>
        <w:numPr>
          <w:ilvl w:val="0"/>
          <w:numId w:val="1002"/>
        </w:numPr>
      </w:pPr>
      <w:bookmarkStart w:id="85" w:name="r20"/>
      <w:r>
        <w:t xml:space="preserve">Gweon, H., Schonlau, M., Kaczmirek, L., Blohm, M., &amp; Steiner, S. (2017). Three Methods for Occupation Coding Based on Statistical Learning.</w:t>
      </w:r>
      <w:r>
        <w:t xml:space="preserve"> </w:t>
      </w:r>
      <w:r>
        <w:rPr>
          <w:i/>
          <w:iCs/>
        </w:rPr>
        <w:t xml:space="preserve">Journal of Official Statistics</w:t>
      </w:r>
      <w:r>
        <w:t xml:space="preserve">, 33(1), 101-122.</w:t>
      </w:r>
      <w:bookmarkEnd w:id="85"/>
    </w:p>
    <w:p>
      <w:pPr>
        <w:pStyle w:val="Compact"/>
        <w:numPr>
          <w:ilvl w:val="0"/>
          <w:numId w:val="1002"/>
        </w:numPr>
      </w:pPr>
      <w:bookmarkStart w:id="86" w:name="r21"/>
      <w:r>
        <w:t xml:space="preserve">Gulrajani, I., &amp; Lopez-Paz, D. (2021). In Search of Lost Domain Generalization.</w:t>
      </w:r>
      <w:r>
        <w:t xml:space="preserve"> </w:t>
      </w:r>
      <w:r>
        <w:rPr>
          <w:i/>
          <w:iCs/>
        </w:rPr>
        <w:t xml:space="preserve">ICLR</w:t>
      </w:r>
      <w:r>
        <w:t xml:space="preserve">. arXiv:2007.01434.</w:t>
      </w:r>
      <w:bookmarkEnd w:id="86"/>
    </w:p>
    <w:p>
      <w:pPr>
        <w:pStyle w:val="Compact"/>
        <w:numPr>
          <w:ilvl w:val="0"/>
          <w:numId w:val="1002"/>
        </w:numPr>
      </w:pPr>
      <w:bookmarkStart w:id="87" w:name="r22"/>
      <w:r>
        <w:t xml:space="preserve">Mueller, A., Krone, J., Romeo, S., Mansour, S., Mansimov, E., Zhang, Y., &amp; Roth, D. (2022). Label Semantic Aware Pre-training for Few-shot Text Classification.</w:t>
      </w:r>
      <w:r>
        <w:t xml:space="preserve"> </w:t>
      </w:r>
      <w:r>
        <w:rPr>
          <w:i/>
          <w:iCs/>
        </w:rPr>
        <w:t xml:space="preserve">ACL</w:t>
      </w:r>
      <w:r>
        <w:t xml:space="preserve">. arXiv:2204.07128.</w:t>
      </w:r>
      <w:bookmarkEnd w:id="87"/>
    </w:p>
    <w:p>
      <w:pPr>
        <w:pStyle w:val="Compact"/>
        <w:numPr>
          <w:ilvl w:val="0"/>
          <w:numId w:val="1002"/>
        </w:numPr>
      </w:pPr>
      <w:bookmarkStart w:id="88" w:name="r23"/>
      <w:r>
        <w:t xml:space="preserve">Aroyo, L., &amp; Welty, C. (2015). Truth Is a Lie: Crowd Truth and the Seven Myths of Human Annotation.</w:t>
      </w:r>
      <w:r>
        <w:t xml:space="preserve"> </w:t>
      </w:r>
      <w:r>
        <w:rPr>
          <w:i/>
          <w:iCs/>
        </w:rPr>
        <w:t xml:space="preserve">AI Magazine</w:t>
      </w:r>
      <w:r>
        <w:t xml:space="preserve">, 36(1), 15-24.</w:t>
      </w:r>
      <w:bookmarkEnd w:id="88"/>
    </w:p>
    <w:p>
      <w:pPr>
        <w:pStyle w:val="Compact"/>
        <w:numPr>
          <w:ilvl w:val="0"/>
          <w:numId w:val="1002"/>
        </w:numPr>
      </w:pPr>
      <w:bookmarkStart w:id="89" w:name="r24"/>
      <w:r>
        <w:t xml:space="preserve">White, A., &amp; Trump, K. S. (2018). The Promises and Pitfalls of 311 Data.</w:t>
      </w:r>
      <w:r>
        <w:t xml:space="preserve"> </w:t>
      </w:r>
      <w:r>
        <w:rPr>
          <w:i/>
          <w:iCs/>
        </w:rPr>
        <w:t xml:space="preserve">Urban Affairs Review</w:t>
      </w:r>
      <w:r>
        <w:t xml:space="preserve">, 54(4), 794-823.</w:t>
      </w:r>
      <w:bookmarkEnd w:id="89"/>
    </w:p>
    <w:p>
      <w:pPr>
        <w:pStyle w:val="FirstParagrap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90"/>
    <w:bookmarkEnd w:id="91"/>
    <w:bookmarkEnd w:id="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6" Type="http://schemas.openxmlformats.org/officeDocument/2006/relationships/image" Target="media/rId56.png"/><Relationship Id="rId30" Type="http://schemas.openxmlformats.org/officeDocument/2006/relationships/image" Target="media/rId30.png"/><Relationship Id="rId53" Type="http://schemas.openxmlformats.org/officeDocument/2006/relationships/image" Target="media/rId53.png"/><Relationship Id="rId45" Type="http://schemas.openxmlformats.org/officeDocument/2006/relationships/image" Target="media/rId45.png"/><Relationship Id="rId37" Type="http://schemas.openxmlformats.org/officeDocument/2006/relationships/image" Target="media/rId37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64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MC311: Administrative Labels Are Not Ground Truth for Cross-Jurisdiction 311 Classification</dc:title>
  <dc:creator/>
  <dc:language>en</dc:language>
  <cp:keywords/>
  <dcterms:created xsi:type="dcterms:W3CDTF">2026-09-01T05:21:56Z</dcterms:created>
  <dcterms:modified xsi:type="dcterms:W3CDTF">2026-09-01T05:21:56Z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