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</w:t>
      </w:r>
      <w:r>
        <w:t xml:space="preserve"> </w:t>
      </w:r>
      <w:r>
        <w:t xml:space="preserve">Multi-City</w:t>
      </w:r>
      <w:r>
        <w:t xml:space="preserve"> </w:t>
      </w:r>
      <w:r>
        <w:t xml:space="preserve">Free-Text</w:t>
      </w:r>
      <w:r>
        <w:t xml:space="preserve"> </w:t>
      </w:r>
      <w:r>
        <w:t xml:space="preserve">Benchmark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0" w:name="X90e4dd8225390731b72929ba27f3cf8718ade98"/>
    <w:p>
      <w:pPr>
        <w:pStyle w:val="Heading1"/>
      </w:pPr>
      <w:r>
        <w:t xml:space="preserve">MC311: A Multi-City Free-Text Benchmark for Cross-Jurisdiction Service-Request Classification</w:t>
      </w:r>
    </w:p>
    <w:p>
      <w:pPr>
        <w:pStyle w:val="FirstParagraph"/>
        <w:jc w:val="bot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  <w:jc w:val="both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  <w:jc w:val="both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  <w:jc w:val="both"/>
      </w:pPr>
      <w:r>
        <w:t xml:space="preserve">Municipal 311 systems record millions of citizen service requests as free text, yet public research uses</w:t>
      </w:r>
      <w:r>
        <w:t xml:space="preserve"> </w:t>
      </w:r>
      <w:r>
        <w:t xml:space="preserve">single-city datasets with private splits and incomparable metrics, and no canonical multi-city free-text</w:t>
      </w:r>
      <w:r>
        <w:t xml:space="preserve"> </w:t>
      </w:r>
      <w:r>
        <w:t xml:space="preserve">311 benchmark exists. We build MC311, to our knowledge the first public 311 free-text benchmark spanning more</w:t>
      </w:r>
      <w:r>
        <w:t xml:space="preserve"> </w:t>
      </w:r>
      <w:r>
        <w:t xml:space="preserve">than two US cities, drawing about 156,000 citizen narratives from seven cities, and map each city's native</w:t>
      </w:r>
      <w:r>
        <w:t xml:space="preserve"> </w:t>
      </w:r>
      <w:r>
        <w:t xml:space="preserve">service taxonomy (545 native categories, 527 distinct labels) into a shared 14-class civic ontology so that</w:t>
      </w:r>
      <w:r>
        <w:t xml:space="preserve"> </w:t>
      </w:r>
      <w:r>
        <w:t xml:space="preserve">models can be evaluated across jurisdictions. Every model, in-city or cross-city, is scored on the same frozen test set of 3,502 requests,</w:t>
      </w:r>
      <w:r>
        <w:t xml:space="preserve"> </w:t>
      </w:r>
      <w:r>
        <w:t xml:space="preserve">so all results are directly comparable. Crossing a city boundary costs roughly a third of pooled macro-F1: a</w:t>
      </w:r>
      <w:r>
        <w:t xml:space="preserve"> </w:t>
      </w:r>
      <w:r>
        <w:t xml:space="preserve">fine-tuned DistilBERT drops from 0.827 in-city to 0.558 across cities (95% CI [0.54, 0.58]), and a TF-IDF</w:t>
      </w:r>
      <w:r>
        <w:t xml:space="preserve"> </w:t>
      </w:r>
      <w:r>
        <w:t xml:space="preserve">classifier from 0.785 to 0.523. A large language model prompted zero-shot with the taxonomy reaches 0.654</w:t>
      </w:r>
      <w:r>
        <w:t xml:space="preserve"> </w:t>
      </w:r>
      <w:r>
        <w:t xml:space="preserve">across cities, significantly above both trained models in the pooled metric (paired bootstrap; 95% CIs on the</w:t>
      </w:r>
      <w:r>
        <w:t xml:space="preserve"> </w:t>
      </w:r>
      <w:r>
        <w:t xml:space="preserve">differences exclude zero), though its lead is heterogeneous across cities, and it remains below in-domain</w:t>
      </w:r>
      <w:r>
        <w:t xml:space="preserve"> </w:t>
      </w:r>
      <w:r>
        <w:t xml:space="preserve">performance. We then ask what the gap measures. An LLM judge (gpt-4o-mini), blind to model and to the city</w:t>
      </w:r>
      <w:r>
        <w:t xml:space="preserve"> </w:t>
      </w:r>
      <w:r>
        <w:t xml:space="preserve">label, finds that 14.3% of city labels are not entailed by the text, and that a third of requests admit more</w:t>
      </w:r>
      <w:r>
        <w:t xml:space="preserve"> </w:t>
      </w:r>
      <w:r>
        <w:t xml:space="preserve">than one valid label. Under a defensibility-adjusted metric that credits any judge-acceptable label, cross-city</w:t>
      </w:r>
      <w:r>
        <w:t xml:space="preserve"> </w:t>
      </w:r>
      <w:r>
        <w:t xml:space="preserve">strict accuracy rises for every model (for the LLM, from 0.797 to 0.981; accuracy, not macro-F1), which</w:t>
      </w:r>
      <w:r>
        <w:t xml:space="preserve"> </w:t>
      </w:r>
      <w:r>
        <w:t xml:space="preserve">indicates that many cross-jurisdiction "errors" are defensible alternatives rather than model failures. MC311's</w:t>
      </w:r>
      <w:r>
        <w:t xml:space="preserve"> </w:t>
      </w:r>
      <w:r>
        <w:t xml:space="preserve">central contribution is to make visible what a strict single-label evaluation hides: requests that admit</w:t>
      </w:r>
      <w:r>
        <w:t xml:space="preserve"> </w:t>
      </w:r>
      <w:r>
        <w:t xml:space="preserve">multiple defensible labels, and city labels not inferable from the free text; human validation of these</w:t>
      </w:r>
      <w:r>
        <w:t xml:space="preserve"> </w:t>
      </w:r>
      <w:r>
        <w:t xml:space="preserve">judgments is the natural next step.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  <w:jc w:val="bot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  <w:jc w:val="both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  <w:jc w:val="both"/>
      </w:pPr>
      <w:r>
        <w:t xml:space="preserve">This paper builds the missing benchmark and uses it to ask a question that single-city work cannot: how</w:t>
      </w:r>
      <w:r>
        <w:t xml:space="preserve"> </w:t>
      </w:r>
      <w:r>
        <w:t xml:space="preserve">well does a 311 text classifier generalize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jurisdictions, and when it does not, what is the</w:t>
      </w:r>
      <w:r>
        <w:t xml:space="preserve"> </w:t>
      </w:r>
      <w:r>
        <w:t xml:space="preserve">drop actually measuring? Our contributions are:</w:t>
      </w:r>
    </w:p>
    <w:p>
      <w:pPr>
        <w:pStyle w:val="Compact"/>
        <w:numPr>
          <w:ilvl w:val="0"/>
          <w:numId w:val="1001"/>
        </w:numPr>
      </w:pPr>
      <w:r>
        <w:t xml:space="preserve">MC311, a public multi-city free-text 311 corpus (seven cities, ~156k citizen narratives) that, to our</w:t>
      </w:r>
      <w:r>
        <w:t xml:space="preserve"> </w:t>
      </w:r>
      <w:r>
        <w:t xml:space="preserve">knowledge, is the first to span more than two US municipalities, together with a verified survey of which</w:t>
      </w:r>
      <w:r>
        <w:t xml:space="preserve"> </w:t>
      </w:r>
      <w:r>
        <w:t xml:space="preserve">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A shared 14-class harmonization of 545 native categories, released as an auditable rule set.</w:t>
      </w:r>
    </w:p>
    <w:p>
      <w:pPr>
        <w:pStyle w:val="Compact"/>
        <w:numPr>
          <w:ilvl w:val="0"/>
          <w:numId w:val="1001"/>
        </w:numPr>
      </w:pPr>
      <w:r>
        <w:t xml:space="preserve">An aligned evaluation protocol: one frozen per-city test set on which every model is scored, with pooled</w:t>
      </w:r>
      <w:r>
        <w:t xml:space="preserve"> </w:t>
      </w:r>
      <w:r>
        <w:t xml:space="preserve">macro-F1, bootstrap confidence intervals, and paired significance tests.</w:t>
      </w:r>
    </w:p>
    <w:p>
      <w:pPr>
        <w:pStyle w:val="Compact"/>
        <w:numPr>
          <w:ilvl w:val="0"/>
          <w:numId w:val="1001"/>
        </w:numPr>
      </w:pPr>
      <w:r>
        <w:t xml:space="preserve">A three-arm study (TF-IDF, fine-tuned DistilBERT, zero-shot LLM) showing a large, significant</w:t>
      </w:r>
      <w:r>
        <w:t xml:space="preserve"> </w:t>
      </w:r>
      <w:r>
        <w:t xml:space="preserve">cross-jurisdiction gap and a clear ordering of methods on transfer.</w:t>
      </w:r>
    </w:p>
    <w:p>
      <w:pPr>
        <w:pStyle w:val="Compact"/>
        <w:numPr>
          <w:ilvl w:val="0"/>
          <w:numId w:val="1001"/>
        </w:numPr>
      </w:pPr>
      <w:r>
        <w:t xml:space="preserve">A diagnostic analysis of that gap using a blind LLM judge: a measured rate of textually-unsupported city</w:t>
      </w:r>
      <w:r>
        <w:t xml:space="preserve"> </w:t>
      </w:r>
      <w:r>
        <w:t xml:space="preserve">labels and a defensibility-adjusted metric showing that many cross-city disagreements are defensible</w:t>
      </w:r>
      <w:r>
        <w:t xml:space="preserve"> </w:t>
      </w:r>
      <w:r>
        <w:t xml:space="preserve">alternatives.</w:t>
      </w:r>
    </w:p>
    <w:p>
      <w:pPr>
        <w:pStyle w:val="FirstParagraph"/>
        <w:jc w:val="both"/>
      </w:pPr>
      <w:r>
        <w:t xml:space="preserve">The reframing is the point. A multi-city 311 benchmark measures taxonomy non-comparability and label</w:t>
      </w:r>
      <w:r>
        <w:t xml:space="preserve"> </w:t>
      </w:r>
      <w:r>
        <w:t xml:space="preserve">ambiguity alongside genuine domain shift, and this paper makes these effects visible on the same population.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  <w:jc w:val="bot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  <w:jc w:val="bot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  <w:jc w:val="bot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  <w:jc w:val="bot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  <w:jc w:val="bot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1359106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591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  <w:jc w:val="both"/>
      </w:pPr>
      <w:r>
        <w:t xml:space="preserve">The first design constraint is that genuine citizen narrative 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  <w:jc w:val="both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  <w:jc w:val="bot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  <w:jc w:val="bot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7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  <w:jc w:val="bot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  <w:jc w:val="both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  <w:jc w:val="both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  <w:jc w:val="both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classes present in the pooled test set, with 95% confidence</w:t>
      </w:r>
      <w:r>
        <w:t xml:space="preserve"> </w:t>
      </w:r>
      <w:r>
        <w:t xml:space="preserve">intervals from 1,000 bootstrap resamples of the test examples. Pooled macro-F1 concatenates all cities' test</w:t>
      </w:r>
      <w:r>
        <w:t xml:space="preserve"> </w:t>
      </w:r>
      <w:r>
        <w:t xml:space="preserve">rows and computes macro-F1 once over the union of classes;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</w:t>
      </w:r>
    </w:p>
    <w:p>
      <w:pPr>
        <w:pStyle w:val="BodyText"/>
        <w:jc w:val="both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0.827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[.67,.73]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0.668</w:t>
            </w:r>
          </w:p>
        </w:tc>
      </w:tr>
    </w:tbl>
    <w:p>
      <w:pPr>
        <w:pStyle w:val="BodyText"/>
        <w:jc w:val="both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  <w:jc w:val="both"/>
      </w:pPr>
      <w:r>
        <w:t xml:space="preserve">Two results are stable across models. Crossing city boundaries costs roughly a third of macro-F1, from 0.827</w:t>
      </w:r>
      <w:r>
        <w:t xml:space="preserve"> </w:t>
      </w:r>
      <w:r>
        <w:t xml:space="preserve">to 0.558 for DistilBERT and from 0.785 to 0.523 for TF-IDF (Figure 1),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(0.654)</w:t>
      </w:r>
      <w:r>
        <w:t xml:space="preserve"> </w:t>
      </w:r>
      <w:r>
        <w:t xml:space="preserve">above DistilBERT (0.558) above TF-IDF (0.523), is significant: paired bootstrap over the shared test examples</w:t>
      </w:r>
      <w:r>
        <w:t xml:space="preserve"> </w:t>
      </w:r>
      <w:r>
        <w:t xml:space="preserve">gives a mean difference of +0.096 for LLM over DistilBERT and +0.131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transfer (0.615) exceeds Richmond's leave-one-city-out score (0.477) while</w:t>
      </w:r>
      <w:r>
        <w:t xml:space="preserve"> </w:t>
      </w:r>
      <w:r>
        <w:t xml:space="preserve">Richmond-to-Auburn (0.350)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a full transfer matrix is future work).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  <w:jc w:val="both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(0.654; paired bootstrap P&gt;0.99).</w:t>
      </w:r>
      <w:r>
        <w:t xml:space="preserve"> </w:t>
      </w:r>
      <w:r>
        <w:t xml:space="preserve">Adding in-context examples does not: gpt-4o-mini given one labeled exemplar per class drawn from the training</w:t>
      </w:r>
      <w:r>
        <w:t xml:space="preserve"> </w:t>
      </w:r>
      <w:r>
        <w:t xml:space="preserve">cities scores 0.650, statistically indistinguishable from its zero-shot result (P=0.44). The advantage</w:t>
      </w:r>
      <w:r>
        <w:t xml:space="preserve"> </w:t>
      </w:r>
      <w:r>
        <w:t xml:space="preserve">therefore comes from the target-label semantics that the taxonomy places in the prompt, and grows with model</w:t>
      </w:r>
      <w:r>
        <w:t xml:space="preserve"> </w:t>
      </w:r>
      <w:r>
        <w:t xml:space="preserve">capacity, rather than from few-shot demonstrations. As a pipeline check, running gpt-4o-mini through the batch</w:t>
      </w:r>
      <w:r>
        <w:t xml:space="preserve"> </w:t>
      </w:r>
      <w:r>
        <w:t xml:space="preserve">API reproduces the synchronous result (0.644 versus 0.654, not significant).</w:t>
      </w:r>
    </w:p>
    <w:p>
      <w:pPr>
        <w:pStyle w:val="BodyText"/>
        <w:jc w:val="both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0.840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  <w:jc w:val="bot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0.558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Model family:</w:t>
      </w:r>
      <w:r>
        <w:t xml:space="preserve"> </w:t>
      </w:r>
      <w:r>
        <w:t xml:space="preserve">a stronger encoder and simple label-semantic classifiers, above, do not close it either. The gap is not</w:t>
      </w:r>
      <w:r>
        <w:t xml:space="preserve"> </w:t>
      </w:r>
      <w:r>
        <w:t xml:space="preserve">specific to one architecture, split, or taxonomy granularity.</w:t>
      </w:r>
    </w:p>
    <w:p>
      <w:pPr>
        <w:pStyle w:val="BodyText"/>
        <w:jc w:val="both"/>
      </w:pPr>
      <w:r>
        <w:t xml:space="preserve">Performance varies sharply across held-out cities (Figure 2),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  <w:jc w:val="both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  <w:jc w:val="bot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</w:t>
      </w:r>
    </w:p>
    <w:p>
      <w:pPr>
        <w:pStyle w:val="BodyText"/>
        <w:jc w:val="both"/>
      </w:pPr>
      <w:r>
        <w:t xml:space="preserve">The judge also disagrees with the city's own label on 14.3%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  <w:jc w:val="both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3):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9.7%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 The measured cross-jurisdiction gap therefore conflates three effects that this</w:t>
      </w:r>
      <w:r>
        <w:t xml:space="preserve"> </w:t>
      </w:r>
      <w:r>
        <w:t xml:space="preserve">analysis makes visible without cleanly separating: genuine domain shift between cities, non-comparability of</w:t>
      </w:r>
      <w:r>
        <w:t xml:space="preserve"> </w:t>
      </w:r>
      <w:r>
        <w:t xml:space="preserve">the harmonized taxonomy at its boundaries, and text-label mismatch. The confusion structure identifies where the boundary effects concentrate</w:t>
      </w:r>
      <w:r>
        <w:t xml:space="preserve"> </w:t>
      </w:r>
      <w:r>
        <w:t xml:space="preserve">(Figure 4).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  <w:jc w:val="both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 Resolving these boundaries by intent is a controllable lever on the gap, which we leave to a</w:t>
      </w:r>
      <w:r>
        <w:t xml:space="preserve"> </w:t>
      </w:r>
      <w:r>
        <w:t xml:space="preserve">taxonomy revision.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  <w:jc w:val="bot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  <w:jc w:val="both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  <w:jc w:val="bot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14.3%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  <w:jc w:val="bot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3" w:name="reproducibility"/>
    <w:p>
      <w:pPr>
        <w:pStyle w:val="Heading2"/>
      </w:pPr>
      <w:r>
        <w:t xml:space="preserve">11. Reproducibility</w:t>
      </w:r>
    </w:p>
    <w:p>
      <w:pPr>
        <w:pStyle w:val="FirstParagraph"/>
        <w:jc w:val="bot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</w:t>
      </w:r>
    </w:p>
    <w:bookmarkEnd w:id="63"/>
    <w:bookmarkStart w:id="89" w:name="conclusion"/>
    <w:p>
      <w:pPr>
        <w:pStyle w:val="Heading2"/>
      </w:pPr>
      <w:r>
        <w:t xml:space="preserve">12. Conclusion</w:t>
      </w:r>
    </w:p>
    <w:p>
      <w:pPr>
        <w:pStyle w:val="FirstParagraph"/>
        <w:jc w:val="both"/>
      </w:pPr>
      <w:r>
        <w:t xml:space="preserve">We built the first public multi-city free-text 311 benchmark and used it to measure cross-jurisdiction</w:t>
      </w:r>
      <w:r>
        <w:t xml:space="preserve"> </w:t>
      </w:r>
      <w:r>
        <w:t xml:space="preserve">transfer under an aligned protocol. Both trained models lose roughly a third of their macro-F1 on an unseen city, a</w:t>
      </w:r>
      <w:r>
        <w:t xml:space="preserve"> </w:t>
      </w:r>
      <w:r>
        <w:t xml:space="preserve">zero-shot LLM with the taxonomy in context transfers significantly better than either, and a blind</w:t>
      </w:r>
      <w:r>
        <w:t xml:space="preserve"> </w:t>
      </w:r>
      <w:r>
        <w:t xml:space="preserve">acceptable-set judgment shows that most of the cross-city gap is defensible-label disagreement and taxonomy</w:t>
      </w:r>
      <w:r>
        <w:t xml:space="preserve"> </w:t>
      </w:r>
      <w:r>
        <w:t xml:space="preserve">non-comparability rather than model failure. The benchmark, its harmonization, and the measurement</w:t>
      </w:r>
      <w:r>
        <w:t xml:space="preserve"> </w:t>
      </w:r>
      <w:r>
        <w:t xml:space="preserve">methodology are public so that cross-jurisdiction 311 classification can be studied on comparable ground.</w:t>
      </w:r>
    </w:p>
    <w:p>
      <w:pPr>
        <w:jc w:val="both"/>
      </w:pPr>
      <w:r>
        <w:pict>
          <v:rect style="width:0;height:1.5pt" o:hralign="center" o:hrstd="t" o:hr="t"/>
        </w:pict>
      </w:r>
    </w:p>
    <w:bookmarkStart w:id="88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4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4"/>
    </w:p>
    <w:p>
      <w:pPr>
        <w:pStyle w:val="Compact"/>
        <w:numPr>
          <w:ilvl w:val="0"/>
          <w:numId w:val="1002"/>
        </w:numPr>
      </w:pPr>
      <w:bookmarkStart w:id="65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3"/>
      <w:r>
        <w:t xml:space="preserve">Sukel, M., Rudinac, S., &amp; Worring, M. (2019). Multimodal Classification of Urban Micro-Events. arXiv:1904.13349.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6"/>
      <w:r>
        <w:t xml:space="preserve">Yuan, X., et al. (2023). Out-of-Distribution Generalization in Text Classification: Past, Present, and Future. arXiv:2305.14104.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3"/>
      <w:r>
        <w:t xml:space="preserve">Kontokosta, C. E., &amp; Hong, B. (2017). Equity in 311 Reporting: Socio-Spatial Differentials in the Propensity to Complain. arXiv:1710.02452.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4"/>
      <w:r>
        <w:t xml:space="preserve">Ramponi, A., &amp; Plank, B. (2020). Neural Unsupervised Domain Adaptation in NLP—A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7"/>
    </w:p>
    <w:p>
      <w:pPr>
        <w:pStyle w:val="FirstParagraph"/>
        <w:jc w:val="bot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8"/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 w:cs="Georgi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Georgia" w:hAnsi="Georgia" w:cs="Georgia"/>
    </w:rPr>
  </w:style>
  <w:style w:customStyle="1" w:styleId="FirstParagraph" w:type="paragraph">
    <w:name w:val="First Paragraph"/>
    <w:basedOn w:val="BodyText"/>
    <w:next w:val="BodyText"/>
    <w:qFormat/>
    <w:rPr>
      <w:rFonts w:ascii="Georgia" w:hAnsi="Georgia" w:cs="Georgia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Georgia" w:hAnsi="Georgia" w:cs="Georgia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Georgia" w:hAnsi="Georgia" w:cs="Georgia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Georgia" w:hAnsi="Georgia" w:cs="Georgia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Georgia" w:hAnsi="Georgia" w:cs="Georgia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Georgia" w:hAnsi="Georgia" w:cs="Georgia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Georgia" w:hAnsi="Georgia" w:cs="Georgia"/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Georgia" w:hAnsi="Georgia" w:cs="Georgia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Georgia" w:hAnsi="Georgia" w:cs="Georgia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Georgia" w:hAnsi="Georgia" w:cs="Georgia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Georgia" w:hAnsi="Georgia" w:cs="Georgia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Georgia" w:hAnsi="Georgia" w:cs="Georgia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Georgia" w:hAnsi="Georgia" w:cs="Georgia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Georgia" w:hAnsi="Georgia" w:cs="Georgia"/>
    </w:rPr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  <w:rPr>
      <w:rFonts w:ascii="Georgia" w:hAnsi="Georgia" w:cs="Georgia"/>
    </w:rPr>
  </w:style>
  <w:style w:default="1" w:styleId="DefaultParagraphFont" w:type="character">
    <w:name w:val="Default Paragraph Font"/>
    <w:semiHidden/>
    <w:unhideWhenUsed/>
    <w:rPr>
      <w:rFonts w:ascii="Georgia" w:hAnsi="Georgia" w:cs="Georgia"/>
    </w:rPr>
  </w:style>
  <w:style w:default="1" w:styleId="Table" w:type="table">
    <w:name w:val="Table"/>
    <w:basedOn w:val="TableNormal"/>
    <w:semiHidden/>
    <w:unhideWhenUsed/>
    <w:qFormat/>
    <w:rPr>
      <w:rFonts w:ascii="Georgia" w:hAnsi="Georgia" w:cs="Georgia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Georgia" w:hAnsi="Georgia" w:cs="Georgia"/>
      <w:b/>
    </w:rPr>
  </w:style>
  <w:style w:customStyle="1" w:styleId="Definition" w:type="paragraph">
    <w:name w:val="Definition"/>
    <w:basedOn w:val="Normal"/>
    <w:rPr>
      <w:rFonts w:ascii="Georgia" w:hAnsi="Georgia" w:cs="Georgia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Georgia" w:hAnsi="Georgia" w:cs="Georgia"/>
      <w:i/>
    </w:rPr>
  </w:style>
  <w:style w:customStyle="1" w:styleId="TableCaption" w:type="paragraph">
    <w:name w:val="Table Caption"/>
    <w:basedOn w:val="Caption"/>
    <w:pPr>
      <w:keepNext/>
    </w:pPr>
    <w:rPr>
      <w:rFonts w:ascii="Georgia" w:hAnsi="Georgia" w:cs="Georgia"/>
    </w:rPr>
  </w:style>
  <w:style w:customStyle="1" w:styleId="ImageCaption" w:type="paragraph">
    <w:name w:val="Image Caption"/>
    <w:basedOn w:val="Caption"/>
    <w:rPr>
      <w:rFonts w:ascii="Georgia" w:hAnsi="Georgia" w:cs="Georgia"/>
    </w:rPr>
  </w:style>
  <w:style w:customStyle="1" w:styleId="Figure" w:type="paragraph">
    <w:name w:val="Figure"/>
    <w:basedOn w:val="Normal"/>
    <w:rPr>
      <w:rFonts w:ascii="Georgia" w:hAnsi="Georgia" w:cs="Georgia"/>
    </w:rPr>
  </w:style>
  <w:style w:customStyle="1" w:styleId="CaptionedFigure" w:type="paragraph">
    <w:name w:val="Captioned Figure"/>
    <w:basedOn w:val="Figure"/>
    <w:pPr>
      <w:keepNext/>
    </w:pPr>
    <w:rPr>
      <w:rFonts w:ascii="Georgia" w:hAnsi="Georgia" w:cs="Georgia"/>
    </w:rPr>
  </w:style>
  <w:style w:customStyle="1" w:styleId="BodyTextChar" w:type="character">
    <w:name w:val="Body Text Char"/>
    <w:basedOn w:val="DefaultParagraphFont"/>
    <w:link w:val="BodyText"/>
    <w:rPr>
      <w:rFonts w:ascii="Georgia" w:hAnsi="Georgia" w:cs="Georgia"/>
    </w:rPr>
  </w:style>
  <w:style w:customStyle="1" w:styleId="VerbatimChar" w:type="character">
    <w:name w:val="Verbatim Char"/>
    <w:basedOn w:val="BodyTextChar"/>
    <w:rPr>
      <w:rFonts w:ascii="Georgia" w:hAnsi="Georgia" w:cs="Georgia"/>
      <w:sz w:val="22"/>
    </w:rPr>
  </w:style>
  <w:style w:customStyle="1" w:styleId="SectionNumber" w:type="character">
    <w:name w:val="Section Number"/>
    <w:basedOn w:val="BodyTextChar"/>
    <w:rPr>
      <w:rFonts w:ascii="Georgia" w:hAnsi="Georgia" w:cs="Georgia"/>
    </w:rPr>
  </w:style>
  <w:style w:styleId="FootnoteReference" w:type="character">
    <w:name w:val="Footnote Reference"/>
    <w:basedOn w:val="BodyTextChar"/>
    <w:rPr>
      <w:rFonts w:ascii="Georgia" w:hAnsi="Georgia" w:cs="Georgia"/>
      <w:vertAlign w:val="superscript"/>
    </w:rPr>
  </w:style>
  <w:style w:styleId="Hyperlink" w:type="character">
    <w:name w:val="Hyperlink"/>
    <w:basedOn w:val="BodyTextChar"/>
    <w:rPr>
      <w:rFonts w:ascii="Georgia" w:hAnsi="Georgia" w:cs="Georgia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Georgia" w:hAnsi="Georgia" w:cs="Georgia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Georgia" w:hAnsi="Georgia" w:cs="Georgia"/>
    </w:rPr>
  </w:style>
  <w:style w:type="character" w:customStyle="1" w:styleId="KeywordTok">
    <w:name w:val="KeywordTok"/>
    <w:basedOn w:val="VerbatimChar"/>
    <w:rPr>
      <w:rFonts w:ascii="Georgia" w:hAnsi="Georgia" w:cs="Georgia"/>
      <w:b/>
      <w:color w:val="007020"/>
    </w:rPr>
  </w:style>
  <w:style w:type="character" w:customStyle="1" w:styleId="DataTypeTok">
    <w:name w:val="DataTypeTok"/>
    <w:basedOn w:val="VerbatimChar"/>
    <w:rPr>
      <w:rFonts w:ascii="Georgia" w:hAnsi="Georgia" w:cs="Georgia"/>
      <w:color w:val="902000"/>
    </w:rPr>
  </w:style>
  <w:style w:type="character" w:customStyle="1" w:styleId="DecValTok">
    <w:name w:val="DecValTok"/>
    <w:basedOn w:val="VerbatimChar"/>
    <w:rPr>
      <w:rFonts w:ascii="Georgia" w:hAnsi="Georgia" w:cs="Georgia"/>
      <w:color w:val="40a070"/>
    </w:rPr>
  </w:style>
  <w:style w:type="character" w:customStyle="1" w:styleId="BaseNTok">
    <w:name w:val="BaseNTok"/>
    <w:basedOn w:val="VerbatimChar"/>
    <w:rPr>
      <w:rFonts w:ascii="Georgia" w:hAnsi="Georgia" w:cs="Georgia"/>
      <w:color w:val="40a070"/>
    </w:rPr>
  </w:style>
  <w:style w:type="character" w:customStyle="1" w:styleId="FloatTok">
    <w:name w:val="FloatTok"/>
    <w:basedOn w:val="VerbatimChar"/>
    <w:rPr>
      <w:rFonts w:ascii="Georgia" w:hAnsi="Georgia" w:cs="Georgia"/>
      <w:color w:val="40a070"/>
    </w:rPr>
  </w:style>
  <w:style w:type="character" w:customStyle="1" w:styleId="ConstantTok">
    <w:name w:val="ConstantTok"/>
    <w:basedOn w:val="VerbatimChar"/>
    <w:rPr>
      <w:rFonts w:ascii="Georgia" w:hAnsi="Georgia" w:cs="Georgia"/>
      <w:color w:val="880000"/>
    </w:rPr>
  </w:style>
  <w:style w:type="character" w:customStyle="1" w:styleId="CharTok">
    <w:name w:val="CharTok"/>
    <w:basedOn w:val="VerbatimChar"/>
    <w:rPr>
      <w:rFonts w:ascii="Georgia" w:hAnsi="Georgia" w:cs="Georgia"/>
      <w:color w:val="4070a0"/>
    </w:rPr>
  </w:style>
  <w:style w:type="character" w:customStyle="1" w:styleId="SpecialCharTok">
    <w:name w:val="SpecialCharTok"/>
    <w:basedOn w:val="VerbatimChar"/>
    <w:rPr>
      <w:rFonts w:ascii="Georgia" w:hAnsi="Georgia" w:cs="Georgia"/>
      <w:color w:val="4070a0"/>
    </w:rPr>
  </w:style>
  <w:style w:type="character" w:customStyle="1" w:styleId="StringTok">
    <w:name w:val="StringTok"/>
    <w:basedOn w:val="VerbatimChar"/>
    <w:rPr>
      <w:rFonts w:ascii="Georgia" w:hAnsi="Georgia" w:cs="Georgia"/>
      <w:color w:val="4070a0"/>
    </w:rPr>
  </w:style>
  <w:style w:type="character" w:customStyle="1" w:styleId="VerbatimStringTok">
    <w:name w:val="VerbatimStringTok"/>
    <w:basedOn w:val="VerbatimChar"/>
    <w:rPr>
      <w:rFonts w:ascii="Georgia" w:hAnsi="Georgia" w:cs="Georgia"/>
      <w:color w:val="4070a0"/>
    </w:rPr>
  </w:style>
  <w:style w:type="character" w:customStyle="1" w:styleId="SpecialStringTok">
    <w:name w:val="SpecialStringTok"/>
    <w:basedOn w:val="VerbatimChar"/>
    <w:rPr>
      <w:rFonts w:ascii="Georgia" w:hAnsi="Georgia" w:cs="Georgia"/>
      <w:color w:val="bb6688"/>
    </w:rPr>
  </w:style>
  <w:style w:type="character" w:customStyle="1" w:styleId="ImportTok">
    <w:name w:val="ImportTok"/>
    <w:basedOn w:val="VerbatimChar"/>
    <w:rPr>
      <w:rFonts w:ascii="Georgia" w:hAnsi="Georgia" w:cs="Georgia"/>
      <w:b/>
      <w:color w:val="008000"/>
    </w:rPr>
  </w:style>
  <w:style w:type="character" w:customStyle="1" w:styleId="CommentTok">
    <w:name w:val="CommentTok"/>
    <w:basedOn w:val="VerbatimChar"/>
    <w:rPr>
      <w:rFonts w:ascii="Georgia" w:hAnsi="Georgia" w:cs="Georgia"/>
      <w:i/>
      <w:color w:val="60a0b0"/>
    </w:rPr>
  </w:style>
  <w:style w:type="character" w:customStyle="1" w:styleId="DocumentationTok">
    <w:name w:val="DocumentationTok"/>
    <w:basedOn w:val="VerbatimChar"/>
    <w:rPr>
      <w:rFonts w:ascii="Georgia" w:hAnsi="Georgia" w:cs="Georgia"/>
      <w:i/>
      <w:color w:val="ba2121"/>
    </w:rPr>
  </w:style>
  <w:style w:type="character" w:customStyle="1" w:styleId="AnnotationTok">
    <w:name w:val="AnnotationTok"/>
    <w:basedOn w:val="VerbatimChar"/>
    <w:rPr>
      <w:rFonts w:ascii="Georgia" w:hAnsi="Georgia" w:cs="Georgia"/>
      <w:b/>
      <w:i/>
      <w:color w:val="60a0b0"/>
    </w:rPr>
  </w:style>
  <w:style w:type="character" w:customStyle="1" w:styleId="CommentVarTok">
    <w:name w:val="CommentVarTok"/>
    <w:basedOn w:val="VerbatimChar"/>
    <w:rPr>
      <w:rFonts w:ascii="Georgia" w:hAnsi="Georgia" w:cs="Georgia"/>
      <w:b/>
      <w:i/>
      <w:color w:val="60a0b0"/>
    </w:rPr>
  </w:style>
  <w:style w:type="character" w:customStyle="1" w:styleId="OtherTok">
    <w:name w:val="OtherTok"/>
    <w:basedOn w:val="VerbatimChar"/>
    <w:rPr>
      <w:rFonts w:ascii="Georgia" w:hAnsi="Georgia" w:cs="Georgia"/>
      <w:color w:val="007020"/>
    </w:rPr>
  </w:style>
  <w:style w:type="character" w:customStyle="1" w:styleId="FunctionTok">
    <w:name w:val="FunctionTok"/>
    <w:basedOn w:val="VerbatimChar"/>
    <w:rPr>
      <w:rFonts w:ascii="Georgia" w:hAnsi="Georgia" w:cs="Georgia"/>
      <w:color w:val="06287e"/>
    </w:rPr>
  </w:style>
  <w:style w:type="character" w:customStyle="1" w:styleId="VariableTok">
    <w:name w:val="VariableTok"/>
    <w:basedOn w:val="VerbatimChar"/>
    <w:rPr>
      <w:rFonts w:ascii="Georgia" w:hAnsi="Georgia" w:cs="Georgia"/>
      <w:color w:val="19177c"/>
    </w:rPr>
  </w:style>
  <w:style w:type="character" w:customStyle="1" w:styleId="ControlFlowTok">
    <w:name w:val="ControlFlowTok"/>
    <w:basedOn w:val="VerbatimChar"/>
    <w:rPr>
      <w:rFonts w:ascii="Georgia" w:hAnsi="Georgia" w:cs="Georgia"/>
      <w:b/>
      <w:color w:val="007020"/>
    </w:rPr>
  </w:style>
  <w:style w:type="character" w:customStyle="1" w:styleId="OperatorTok">
    <w:name w:val="OperatorTok"/>
    <w:basedOn w:val="VerbatimChar"/>
    <w:rPr>
      <w:rFonts w:ascii="Georgia" w:hAnsi="Georgia" w:cs="Georgia"/>
      <w:color w:val="666666"/>
    </w:rPr>
  </w:style>
  <w:style w:type="character" w:customStyle="1" w:styleId="BuiltInTok">
    <w:name w:val="BuiltInTok"/>
    <w:basedOn w:val="VerbatimChar"/>
    <w:rPr>
      <w:rFonts w:ascii="Georgia" w:hAnsi="Georgia" w:cs="Georgia"/>
      <w:color w:val="008000"/>
    </w:rPr>
  </w:style>
  <w:style w:type="character" w:customStyle="1" w:styleId="ExtensionTok">
    <w:name w:val="ExtensionTok"/>
    <w:basedOn w:val="VerbatimChar"/>
    <w:rPr>
      <w:rFonts w:ascii="Georgia" w:hAnsi="Georgia" w:cs="Georgia"/>
    </w:rPr>
  </w:style>
  <w:style w:type="character" w:customStyle="1" w:styleId="PreprocessorTok">
    <w:name w:val="PreprocessorTok"/>
    <w:basedOn w:val="VerbatimChar"/>
    <w:rPr>
      <w:rFonts w:ascii="Georgia" w:hAnsi="Georgia" w:cs="Georgia"/>
      <w:color w:val="bc7a00"/>
    </w:rPr>
  </w:style>
  <w:style w:type="character" w:customStyle="1" w:styleId="AttributeTok">
    <w:name w:val="AttributeTok"/>
    <w:basedOn w:val="VerbatimChar"/>
    <w:rPr>
      <w:rFonts w:ascii="Georgia" w:hAnsi="Georgia" w:cs="Georgia"/>
      <w:color w:val="7d9029"/>
    </w:rPr>
  </w:style>
  <w:style w:type="character" w:customStyle="1" w:styleId="RegionMarkerTok">
    <w:name w:val="RegionMarkerTok"/>
    <w:basedOn w:val="VerbatimChar"/>
    <w:rPr>
      <w:rFonts w:ascii="Georgia" w:hAnsi="Georgia" w:cs="Georgia"/>
    </w:rPr>
  </w:style>
  <w:style w:type="character" w:customStyle="1" w:styleId="InformationTok">
    <w:name w:val="InformationTok"/>
    <w:basedOn w:val="VerbatimChar"/>
    <w:rPr>
      <w:rFonts w:ascii="Georgia" w:hAnsi="Georgia" w:cs="Georgia"/>
      <w:b/>
      <w:i/>
      <w:color w:val="60a0b0"/>
    </w:rPr>
  </w:style>
  <w:style w:type="character" w:customStyle="1" w:styleId="WarningTok">
    <w:name w:val="WarningTok"/>
    <w:basedOn w:val="VerbatimChar"/>
    <w:rPr>
      <w:rFonts w:ascii="Georgia" w:hAnsi="Georgia" w:cs="Georgia"/>
      <w:b/>
      <w:i/>
      <w:color w:val="60a0b0"/>
    </w:rPr>
  </w:style>
  <w:style w:type="character" w:customStyle="1" w:styleId="AlertTok">
    <w:name w:val="AlertTok"/>
    <w:basedOn w:val="VerbatimChar"/>
    <w:rPr>
      <w:rFonts w:ascii="Georgia" w:hAnsi="Georgia" w:cs="Georgia"/>
      <w:b/>
      <w:color w:val="ff0000"/>
    </w:rPr>
  </w:style>
  <w:style w:type="character" w:customStyle="1" w:styleId="ErrorTok">
    <w:name w:val="ErrorTok"/>
    <w:basedOn w:val="VerbatimChar"/>
    <w:rPr>
      <w:rFonts w:ascii="Georgia" w:hAnsi="Georgia" w:cs="Georgia"/>
      <w:b/>
      <w:color w:val="ff0000"/>
    </w:rPr>
  </w:style>
  <w:style w:type="character" w:customStyle="1" w:styleId="NormalTok">
    <w:name w:val="NormalTok"/>
    <w:basedOn w:val="VerbatimChar"/>
    <w:rPr>
      <w:rFonts w:ascii="Georgia" w:hAnsi="Georgia" w:cs="Georgia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 Multi-City Free-Text Benchmark for Cross-Jurisdiction 311 Classification</dc:title>
  <dc:creator/>
  <dc:language>en</dc:language>
  <cp:keywords/>
  <dcterms:created xsi:type="dcterms:W3CDTF">2026-08-30T09:06:55Z</dcterms:created>
  <dcterms:modified xsi:type="dcterms:W3CDTF">2026-08-30T09:06:55Z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