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20"/>
        </w:rPr>
        <w:t xml:space="preserve">Alexander Apartsin</w:t>
      </w: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 Yehudit Aperstein</w:t>
      </w:r>
      <w:r>
        <w:rPr>
          <w:rFonts w:ascii="Times New Roman" w:hAnsi="Times New Roman"/>
          <w:b w:val="0"/>
          <w:i/>
          <w:color w:val="000000"/>
          <w:sz w:val="20"/>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2</w:t>
      </w:r>
      <w:r>
        <w:rPr>
          <w:rFonts w:ascii="Times New Roman" w:hAnsi="Times New Roman"/>
          <w:b w:val="0"/>
          <w:i/>
          <w:color w:val="000000"/>
          <w:sz w:val="20"/>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720" w:right="720" w:firstLine="0"/>
        <w:jc w:val="both"/>
        <w:keepNext w:val="0"/>
        <w:keepLines w:val="0"/>
        <w:widowControl w:val="1"/>
      </w:pPr>
      <w:r>
        <w:rPr>
          <w:color w:val="000000"/>
        </w:rPr>
        <w:t xml:space="preserve">Choosing an anomaly detector for a new dataset is a chicken-and-egg problem: comparing detectors by held-out ROC-AUC requires labeled anomalies, which unsupervised deployments lack. ADRank ranks a panel of detectors from the unlabeled data alone: cluster the data, hold out a few clusters as stand-in anomalies, fit each detector on the rest, and score how well it flags the held-out clusters. We evaluate a selector by</w:t>
      </w:r>
      <w:r>
        <w:rPr>
          <w:color w:val="000000"/>
        </w:rPr>
        <w:t xml:space="preserve"> </w:t>
      </w:r>
      <w:r>
        <w:rPr>
          <w:i/>
          <w:iCs/>
          <w:color w:val="000000"/>
        </w:rPr>
        <w:t xml:space="preserve">regret</w:t>
      </w:r>
      <w:r>
        <w:rPr>
          <w:color w:val="000000"/>
        </w:rPr>
        <w:t xml:space="preserve">, the AUC gap between the best available detector and the one it picks.</w:t>
      </w:r>
    </w:p>
    <w:p>
      <w:pPr>
        <w:pStyle w:val="BodyText"/>
        <w:ind w:left="720" w:right="720" w:firstLine="0"/>
        <w:jc w:val="both"/>
        <w:keepNext w:val="0"/>
        <w:keepLines w:val="0"/>
        <w:widowControl w:val="1"/>
      </w:pPr>
      <w:r>
        <w:rPr>
          <w:color w:val="000000"/>
        </w:rPr>
        <w:t xml:space="preserve">We develop ADRank on a benchmark of 69 datasets spanning tabular, image, text, and time-series modalities, where a label-free self-calibration cuts regret 78 to 93% below a random pick, within 0.01 AUC of a labels-based oracle. The signal comes from the geometry of normal data alone: regret is unchanged at 0% contamination, so ADRank needs no anomalies in its input to find the detector that will catch them. Against the harder bar of committing to one detector, it beats the Isolation Forest default and matches the best fixed detector without knowing in advance which one it is.</w:t>
      </w:r>
    </w:p>
    <w:p>
      <w:pPr>
        <w:pStyle w:val="BodyText"/>
        <w:ind w:left="720" w:right="720" w:firstLine="0"/>
        <w:jc w:val="both"/>
        <w:keepNext w:val="0"/>
        <w:keepLines w:val="0"/>
        <w:widowControl w:val="1"/>
      </w:pPr>
      <w:r>
        <w:rPr>
          <w:color w:val="000000"/>
        </w:rPr>
        <w:t xml:space="preserve">To test generalization, we freeze the method and run it, with no further tuning, on 187 previously-unseen tabular datasets from OddBench. There it attains the lowest regret of any label-free strategy and the most robust skill across benchmarks; because the best fixed detector changes from one benchmark to the next, no advance choice is safe, and ADRank tracks the winner on its own. One limit remains, datasets whose best detector is global rather than local, which a marginal-tail variant partly closes. We release the code, benchmark, and per-dataset results.</w:t>
      </w: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5.5)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5.4.</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3"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p>
      <w:pPr>
        <w:pStyle w:val="BodyText"/>
        <w:jc w:val="center"/>
        <w:keepNext/>
        <w:keepLines/>
        <w:widowControl w:val="1"/>
      </w:pPr>
      <w:r>
        <w:rPr>
          <w:color w:val="000000"/>
        </w:rP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pStyle w:val="TableCaption"/>
        <w:spacing w:before="28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b61520c1eb8ffa6028b995f0a729aaaba65b975"/>
    <w:p>
      <w:pPr>
        <w:pStyle w:val="Heading3"/>
        <w:keepNext/>
        <w:keepLines/>
        <w:widowControl w:val="1"/>
      </w:pPr>
      <w:r>
        <w:rPr>
          <w:color w:val="000000"/>
        </w:rPr>
        <w:t xml:space="preserve">5.2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3"/>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3"/>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3"/>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pStyle w:val="TableCaption"/>
        <w:spacing w:before="280" w:after="60" w:line="240" w:lineRule="auto"/>
        <w:jc w:val="center"/>
        <w:keepNext/>
        <w:keepLines/>
        <w:widowControl w:val="1"/>
      </w:pPr>
      <w:r>
        <w:rPr>
          <w:b/>
          <w:i/>
          <w:color w:val="000000"/>
        </w:rPr>
        <w:t>Table 2.</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5.3 sharpens the two embedding modalities further.</w:t>
      </w:r>
    </w:p>
    <w:bookmarkEnd w:id="22"/>
    <w:bookmarkStart w:id="26" w:name="Xad7c6820d4f894ad54dda1ed2340ed92f412863"/>
    <w:p>
      <w:pPr>
        <w:pStyle w:val="Heading3"/>
        <w:keepNext/>
        <w:keepLines/>
        <w:widowControl w:val="1"/>
      </w:pPr>
      <w:r>
        <w:rPr>
          <w:color w:val="000000"/>
        </w:rPr>
        <w:t xml:space="preserve">5.3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2). Rather than hand-pick a regime per modality, we let the data choose: run the regime bank of Section 3 and weight each regime by its cross-detector pseudo-AUC variance, a label-free measure of how well the regime discriminates detectors (Table 3).</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pStyle w:val="TableCaption"/>
        <w:spacing w:before="280" w:after="60" w:line="240" w:lineRule="auto"/>
        <w:jc w:val="center"/>
        <w:keepNext/>
        <w:keepLines/>
        <w:widowControl w:val="1"/>
      </w:pPr>
      <w:r>
        <w:rPr>
          <w:b/>
          <w:i/>
          <w:color w:val="000000"/>
        </w:rPr>
        <w:t>Table 3.</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5943600" cy="3328416"/>
            <wp:effectExtent b="0" l="0" r="0" t="0"/>
            <wp:docPr descr="Bar chart of regret@1 for random pick, fixed-ensemble ADRank, and auto-calibrated ADRank across four modalities" title="" id="24" name="Picture"/>
            <a:graphic>
              <a:graphicData uri="http://schemas.openxmlformats.org/drawingml/2006/picture">
                <pic:pic>
                  <pic:nvPicPr>
                    <pic:cNvPr descr="figures/fig4_regret.png" id="25" name="Picture"/>
                    <pic:cNvPicPr>
                      <a:picLocks noChangeArrowheads="1" noChangeAspect="1"/>
                    </pic:cNvPicPr>
                  </pic:nvPicPr>
                  <pic:blipFill>
                    <a:blip r:embed="rId23"/>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4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pStyle w:val="TableCaption"/>
        <w:spacing w:before="280" w:after="60" w:line="240" w:lineRule="auto"/>
        <w:jc w:val="center"/>
        <w:keepNext/>
        <w:keepLines/>
        <w:widowControl w:val="1"/>
      </w:pP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b/>
          <w:i/>
          <w:color w:val="000000"/>
        </w:rPr>
        <w:t>Table 4.</w:t>
      </w:r>
      <w:r>
        <w:rPr>
          <w:b w:val="0"/>
          <w:i/>
          <w:color w:val="000000"/>
        </w:rPr>
        <w:t xml:space="preserve"> </w:t>
      </w:r>
      <w:r>
        <w:rPr>
          <w:b w:val="0"/>
          <w:i/>
          <w:color w:val="000000"/>
        </w:rPr>
        <w:t>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  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26"/>
    <w:bookmarkStart w:id="27" w:name="X84148a73d482386225bcc927e6e92a68439cad5"/>
    <w:p>
      <w:pPr>
        <w:pStyle w:val="Heading3"/>
        <w:keepNext/>
        <w:keepLines/>
        <w:widowControl w:val="1"/>
      </w:pPr>
      <w:r>
        <w:rPr>
          <w:color w:val="000000"/>
        </w:rPr>
        <w:t xml:space="preserve">5.4 A second benchmark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27"/>
    <w:bookmarkStart w:id="28" w:name="Xc9212e3277a76088cd7ba1a288cf23f6bab282c"/>
    <w:p>
      <w:pPr>
        <w:pStyle w:val="Heading3"/>
        <w:keepNext/>
        <w:keepLines/>
        <w:widowControl w:val="1"/>
      </w:pPr>
      <w:r>
        <w:rPr>
          <w:color w:val="000000"/>
        </w:rPr>
        <w:t xml:space="preserve">5.5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pStyle w:val="TableCaption"/>
        <w:spacing w:before="280" w:after="60" w:line="240" w:lineRule="auto"/>
        <w:jc w:val="center"/>
        <w:keepNext/>
        <w:keepLines/>
        <w:widowControl w:val="1"/>
      </w:pPr>
      <w:r>
        <w:rPr>
          <w:b/>
          <w:i/>
          <w:color w:val="000000"/>
        </w:rPr>
        <w:t>Table 5.</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pStyle w:val="TableCaption"/>
        <w:spacing w:before="280" w:after="60" w:line="240" w:lineRule="auto"/>
        <w:jc w:val="center"/>
        <w:keepNext/>
        <w:keepLines/>
        <w:widowControl w:val="1"/>
      </w:pPr>
      <w:r>
        <w:rPr>
          <w:b/>
          <w:i/>
          <w:color w:val="000000"/>
        </w:rPr>
        <w:t>Table 6.</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5.4: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7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pStyle w:val="TableCaption"/>
        <w:spacing w:before="280" w:after="60" w:line="240" w:lineRule="auto"/>
        <w:jc w:val="center"/>
        <w:keepNext/>
        <w:keepLines/>
        <w:widowControl w:val="1"/>
      </w:pPr>
      <w:r>
        <w:rPr>
          <w:b/>
          <w:i/>
          <w:color w:val="000000"/>
        </w:rPr>
        <w:t>Table 7.</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28"/>
    <w:bookmarkStart w:id="32" w:name="X4c621d3d5d01d0190f366e11e8a32fcdaa42af6"/>
    <w:p>
      <w:pPr>
        <w:pStyle w:val="Heading3"/>
        <w:keepNext/>
        <w:keepLines/>
        <w:widowControl w:val="1"/>
      </w:pPr>
      <w:r>
        <w:rPr>
          <w:color w:val="000000"/>
        </w:rPr>
        <w:t xml:space="preserve">5.6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5943600" cy="3657599"/>
            <wp:effectExtent b="0" l="0" r="0" t="0"/>
            <wp:docPr descr="Regret versus the fraction of real anomalies revealed in ADRank's selection input; the curve is flat and far below random" title="" id="30" name="Picture"/>
            <a:graphic>
              <a:graphicData uri="http://schemas.openxmlformats.org/drawingml/2006/picture">
                <pic:pic>
                  <pic:nvPicPr>
                    <pic:cNvPr descr="figures/fig5_contamination.png" id="31" name="Picture"/>
                    <pic:cNvPicPr>
                      <a:picLocks noChangeArrowheads="1" noChangeAspect="1"/>
                    </pic:cNvPicPr>
                  </pic:nvPicPr>
                  <pic:blipFill>
                    <a:blip r:embed="rId29"/>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2"/>
    <w:bookmarkEnd w:id="33"/>
    <w:bookmarkStart w:id="34"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5.4):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5.4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5.4):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5.4).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5.4) rather than the full five-seed sweep. Confidence intervals are derived from five seeds; regret standard deviations are already small (≤ 0.010), so more seeds would tighten them marginally without changing the ordering of modalities.</w:t>
      </w:r>
    </w:p>
    <w:bookmarkEnd w:id="35"/>
    <w:bookmarkStart w:id="36"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36"/>
    <w:bookmarkStart w:id="42" w:name="X6cad7445b6ef744a8d56b466b3d8dc06a942694"/>
    <w:p>
      <w:pPr>
        <w:pStyle w:val="Heading2"/>
        <w:keepNext/>
        <w:keepLines/>
        <w:widowControl w:val="1"/>
      </w:pPr>
      <w:r>
        <w:rPr>
          <w:color w:val="000000"/>
        </w:rPr>
        <w:t xml:space="preserve">Appendix A. Ablations and per-dataset behavior</w:t>
      </w:r>
    </w:p>
    <w:bookmarkStart w:id="37" w:name="X80ac8a6d573c514303622ce95145bcc97b35326"/>
    <w:p>
      <w:pPr>
        <w:pStyle w:val="Heading3"/>
        <w:keepNext/>
        <w:keepLines/>
        <w:widowControl w:val="1"/>
      </w:pPr>
      <w:r>
        <w:rPr>
          <w:color w:val="000000"/>
        </w:rPr>
        <w:t xml:space="preserve">A.1 Cluster-selection strategy and rank aggregation</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A.1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pStyle w:val="BodyText"/>
        <w:spacing w:before="240"/>
        <w:jc w:val="both"/>
        <w:keepNext w:val="0"/>
        <w:keepLines w:val="0"/>
        <w:widowControl w:val="1"/>
      </w:pPr>
      <w:r>
        <w:rPr>
          <w:b/>
          <w:bCs/>
          <w:color w:val="000000"/>
        </w:rPr>
        <w:t xml:space="preserve">Table A.1.</w:t>
      </w:r>
      <w:r>
        <w:rPr>
          <w:color w:val="000000"/>
        </w:rPr>
        <w:t xml:space="preserve"> </w:t>
      </w:r>
      <w:r>
        <w:rPr>
          <w:color w:val="000000"/>
        </w:rPr>
        <w:t xml:space="preserve">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4"/>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4"/>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37"/>
    <w:bookmarkStart w:id="41" w:name="Xea31230ad33a9ed880aeb17ba6e96405a3004d4"/>
    <w:p>
      <w:pPr>
        <w:pStyle w:val="Heading3"/>
        <w:keepNext/>
        <w:keepLines/>
        <w:widowControl w:val="1"/>
      </w:pPr>
      <w:r>
        <w:rPr>
          <w:color w:val="000000"/>
        </w:rPr>
        <w:t xml:space="preserve">A.2 Per-dataset predicted-versus-true rank</w:t>
      </w:r>
    </w:p>
    <w:p>
      <w:pPr>
        <w:pStyle w:val="BodyText"/>
        <w:jc w:val="center"/>
        <w:keepNext/>
        <w:keepLines/>
        <w:widowControl w:val="1"/>
      </w:pPr>
      <w:r>
        <w:rPr>
          <w:color w:val="000000"/>
        </w:rPr>
        <w:drawing>
          <wp:inline>
            <wp:extent cx="3971108" cy="6949440"/>
            <wp:effectExtent b="0" l="0" r="0" t="0"/>
            <wp:docPr descr="Per-dataset scatter of ADRank-predicted rank against true rank" title="" id="39" name="Picture"/>
            <a:graphic>
              <a:graphicData uri="http://schemas.openxmlformats.org/drawingml/2006/picture">
                <pic:pic>
                  <pic:nvPicPr>
                    <pic:cNvPr descr="figures/fig3_scatter.png" id="40" name="Picture"/>
                    <pic:cNvPicPr>
                      <a:picLocks noChangeArrowheads="1" noChangeAspect="1"/>
                    </pic:cNvPicPr>
                  </pic:nvPicPr>
                  <pic:blipFill>
                    <a:blip r:embed="rId38"/>
                    <a:stretch>
                      <a:fillRect/>
                    </a:stretch>
                  </pic:blipFill>
                  <pic:spPr bwMode="auto">
                    <a:xfrm>
                      <a:off x="0" y="0"/>
                      <a:ext cx="3971108" cy="6949440"/>
                    </a:xfrm>
                    <a:prstGeom prst="rect">
                      <a:avLst/>
                    </a:prstGeom>
                    <a:noFill/>
                    <a:ln w="9525">
                      <a:noFill/>
                      <a:headEnd/>
                      <a:tailEnd/>
                    </a:ln>
                  </pic:spPr>
                </pic:pic>
              </a:graphicData>
            </a:graphic>
          </wp:inline>
        </w:drawing>
      </w:r>
    </w:p>
    <w:p>
      <w:pPr>
        <w:pStyle w:val="BodyText"/>
        <w:jc w:val="both"/>
        <w:keepNext w:val="0"/>
        <w:keepLines w:val="0"/>
        <w:widowControl w:val="1"/>
      </w:pPr>
      <w:r>
        <w:rPr>
          <w:b/>
          <w:bCs/>
          <w:color w:val="000000"/>
        </w:rPr>
        <w:t xml:space="preserve">Figure A.1.</w:t>
      </w:r>
      <w:r>
        <w:rPr>
          <w:color w:val="000000"/>
        </w:rPr>
        <w:t xml:space="preserve"> </w:t>
      </w:r>
      <w:r>
        <w:rPr>
          <w:color w:val="000000"/>
        </w:rPr>
        <w:t xml:space="preserve">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41"/>
    <w:bookmarkEnd w:id="42"/>
    <w:bookmarkStart w:id="45" w:name="appendix-b-robustness-checks"/>
    <w:p>
      <w:pPr>
        <w:pStyle w:val="Heading2"/>
        <w:keepNext/>
        <w:keepLines/>
        <w:widowControl w:val="1"/>
      </w:pPr>
      <w:r>
        <w:rPr>
          <w:color w:val="000000"/>
        </w:rPr>
        <w:t xml:space="preserve">Appendix B. Robustness checks</w:t>
      </w:r>
    </w:p>
    <w:bookmarkStart w:id="43" w:name="Xdeccc8a5f1edf0810f65fee6f7ac5156753c2d5"/>
    <w:p>
      <w:pPr>
        <w:pStyle w:val="Heading3"/>
        <w:keepNext/>
        <w:keepLines/>
        <w:widowControl w:val="1"/>
      </w:pPr>
      <w:r>
        <w:rPr>
          <w:color w:val="000000"/>
        </w:rPr>
        <w:t xml:space="preserve">B.1 Leave-one-detector-out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B.1).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pStyle w:val="BodyText"/>
        <w:spacing w:before="240"/>
        <w:jc w:val="both"/>
        <w:keepNext w:val="0"/>
        <w:keepLines w:val="0"/>
        <w:widowControl w:val="1"/>
      </w:pPr>
      <w:r>
        <w:rPr>
          <w:b/>
          <w:bCs/>
          <w:color w:val="000000"/>
        </w:rPr>
        <w:t xml:space="preserve">Table B.1.</w:t>
      </w:r>
      <w:r>
        <w:rPr>
          <w:color w:val="000000"/>
        </w:rPr>
        <w:t xml:space="preserve"> </w:t>
      </w:r>
      <w:r>
        <w:rPr>
          <w:color w:val="000000"/>
        </w:rPr>
        <w:t xml:space="preserve">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43"/>
    <w:bookmarkStart w:id="44" w:name="b2-deep-detectors"/>
    <w:p>
      <w:pPr>
        <w:pStyle w:val="Heading3"/>
        <w:keepNext/>
        <w:keepLines/>
        <w:widowControl w:val="1"/>
      </w:pPr>
      <w:r>
        <w:rPr>
          <w:color w:val="000000"/>
        </w:rPr>
        <w:t xml:space="preserve">B.2 Deep detectors</w:t>
      </w:r>
    </w:p>
    <w:p>
      <w:pPr>
        <w:pStyle w:val="FirstParagraph"/>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B.2).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pStyle w:val="BodyText"/>
        <w:spacing w:before="240"/>
        <w:jc w:val="both"/>
        <w:keepNext w:val="0"/>
        <w:keepLines w:val="0"/>
        <w:widowControl w:val="1"/>
      </w:pPr>
      <w:r>
        <w:rPr>
          <w:b/>
          <w:bCs/>
          <w:color w:val="000000"/>
        </w:rPr>
        <w:t xml:space="preserve">Table B.2.</w:t>
      </w:r>
      <w:r>
        <w:rPr>
          <w:color w:val="000000"/>
        </w:rPr>
        <w:t xml:space="preserve"> </w:t>
      </w:r>
      <w:r>
        <w:rPr>
          <w:color w:val="000000"/>
        </w:rPr>
        <w:t xml:space="preserve">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bookmarkEnd w:id="44"/>
    <w:bookmarkEnd w:id="45"/>
    <w:bookmarkStart w:id="69"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20"/>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6">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7">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8">
        <w:r>
          <w:rPr>
            <w:rStyle w:val="Hyperlink"/>
          </w:rPr>
          <w:t xml:space="preserve">arXiv:2009.10606</w:t>
        </w:r>
      </w:hyperlink>
      <w:r>
        <w:rPr>
          <w:color w:val="000000"/>
        </w:rPr>
        <w:t xml:space="preserve">.</w:t>
      </w:r>
      <w:r>
        <w:rPr>
          <w:color w:val="000000"/>
        </w:rPr>
        <w:t xml:space="preserve"> </w:t>
      </w:r>
      <w:hyperlink r:id="rId49">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50">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51">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52">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3">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4">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5">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6">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7">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8">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9">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60">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61">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62">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3">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4">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5">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6">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7">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8">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23. </w:t>
      </w:r>
      <w:r>
        <w:rPr>
          <w:color w:val="000000"/>
        </w:rPr>
        <w:t xml:space="preserve">ADRank v1 · Ranking Anomaly Detectors from Normal Data Alone</w:t>
      </w:r>
    </w:p>
    <w:bookmarkEnd w:id="69"/>
    <w:bookmarkEnd w:id="7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38" Type="http://schemas.openxmlformats.org/officeDocument/2006/relationships/image" Target="media/rId38.png"/><Relationship Id="rId23" Type="http://schemas.openxmlformats.org/officeDocument/2006/relationships/image" Target="media/rId23.png"/><Relationship Id="rId29" Type="http://schemas.openxmlformats.org/officeDocument/2006/relationships/image" Target="media/rId29.png"/><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2026-09-01T17:39:17Z</dcterms:created>
  <dcterms:modified xsi:type="dcterms:W3CDTF">2026-09-01T17:39:17Z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