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157c8d2b91c9d4bd4656528bc8c5ed9e6c53da2"/>
    <w:p>
      <w:pPr>
        <w:pStyle w:val="Title"/>
        <w:spacing w:before="0" w:after="160"/>
        <w:jc w:val="center"/>
        <w:keepNext/>
        <w:keepLines/>
        <w:widowControl w:val="1"/>
      </w:pPr>
      <w:r>
        <w:t xml:space="preserve">Ranking Anomaly Detectors Without Anomalies via Cluster-Holdout Pseudo-Labels</w:t>
      </w:r>
    </w:p>
    <w:p>
      <w:pPr>
        <w:pStyle w:val="Subtitle"/>
        <w:spacing w:before="0" w:after="40"/>
        <w:jc w:val="center"/>
        <w:keepNext/>
        <w:keepLines/>
        <w:widowControl w:val="1"/>
      </w:pPr>
      <w:r>
        <w:rPr>
          <w:rFonts w:ascii="Georgia" w:hAnsi="Georgia"/>
          <w:b/>
          <w:i w:val="0"/>
          <w:sz w:val="24"/>
        </w:rPr>
        <w:t xml:space="preserve">Alexander Apartsin</w:t>
      </w:r>
    </w:p>
    <w:p>
      <w:pPr>
        <w:pStyle w:val="Subtitle"/>
        <w:spacing w:before="0" w:after="40"/>
        <w:jc w:val="center"/>
        <w:keepNext/>
        <w:keepLines/>
        <w:widowControl w:val="1"/>
      </w:pPr>
      <w:r>
        <w:rPr>
          <w:rStyle w:val="VerbatimChar"/>
          <w:rFonts w:ascii="Georgia" w:hAnsi="Georgia"/>
          <w:b/>
          <w:i w:val="0"/>
          <w:sz w:val="24"/>
        </w:rPr>
        <w:t xml:space="preserve">apartsin@gmail.com</w:t>
      </w:r>
    </w:p>
    <w:p>
      <w:pPr>
        <w:pStyle w:val="Subtitle"/>
        <w:spacing w:before="0" w:after="40"/>
        <w:jc w:val="center"/>
        <w:keepNext/>
        <w:keepLines/>
        <w:widowControl w:val="1"/>
      </w:pPr>
      <w:r>
        <w:rPr>
          <w:rFonts w:ascii="Georgia" w:hAnsi="Georgia"/>
          <w:b/>
          <w:i w:val="0"/>
          <w:sz w:val="24"/>
        </w:rPr>
        <w:t xml:space="preserve">Code and data:</w:t>
      </w:r>
      <w:r>
        <w:rPr>
          <w:rFonts w:ascii="Georgia" w:hAnsi="Georgia"/>
          <w:b/>
          <w:i w:val="0"/>
          <w:sz w:val="24"/>
        </w:rPr>
        <w:t xml:space="preserve"> </w:t>
      </w:r>
      <w:r>
        <w:rPr>
          <w:rStyle w:val="VerbatimChar"/>
          <w:rFonts w:ascii="Georgia" w:hAnsi="Georgia"/>
          <w:b/>
          <w:i w:val="0"/>
          <w:sz w:val="24"/>
        </w:rPr>
        <w:t xml:space="preserve">github.com/ApartsinProjects/ADRank</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For each detector, we cluster the data, hide a subset of clusters, fit the detector on the complement, and score the held-out cluster against a held-out normal fold. Detectors are ranked by their mean pseudo-AUC across many such cluster subsets. We measure a detector selector by</w:t>
      </w:r>
      <w:r>
        <w:t xml:space="preserve"> </w:t>
      </w:r>
      <w:r>
        <w:rPr>
          <w:i/>
          <w:iCs/>
        </w:rPr>
        <w:t xml:space="preserve">regret</w:t>
      </w:r>
      <w:r>
        <w:t xml:space="preserve">: the true-AUC gap between the best detector in the panel and the one the selector picks, a threshold-free, decision-relevant quantity that stays well-behaved when detectors tie. A single fixed pseudo-anomaly regime leaves a weak spot: on BERT text embeddings it barely beats random, because held-out clusters do not exercise the local-density structure that separates the best text detector from its near-twin. We remove this weakness with an unsupervised auto-calibration: run a bank of pseudo-anomaly regimes and weight each by how strongly it separates the detectors, a purely label-free signal. Across four modalities and 69 datasets, with five seeds, auto-calibrated ADRank cuts detector-selection regret relative to random selection by 78% on tabular ADBench data, 93% on ResNet-18 image embeddings, 93% on BERT text embeddings, and 90% on windowed time-series, matching within a few thousandths of AUC an oracle that picks the best regime using labels. The result transfers to a second, independently-preprocessed tabular benchmark (DAMI, 41% regret reduction) and survives adding deep detectors (AutoEncoder, DeepSVDD) to the panel. ADRank has lower regret than the canonical Excess-Mass and Mass-Volume internal metrics on every modality, and unlike them never falls to the random-pick baseline; the consensus heuristic, which ranks detectors by agreement with the average detector score, is itself worse than random. ADRank is stable across seeds (regret standard deviation ≤ 0.002 after calibration), stable under drop-one detector-panel perturbations, and cheap to compute. We also characterize its ceiling: because cluster-holdout pseudo-anomalies are local, the method under-serves datasets whose best detector is global, and we show a natural global-regime fix fails because the label-free weighting cannot tell a high-variance misaligned regime from an informative one. We release the code, benchmark harness, and per-dataset results.</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LOF on others, ECOD on a third.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t xml:space="preserve">We ask a simpler question:</w:t>
      </w:r>
      <w:r>
        <w:t xml:space="preserve"> </w:t>
      </w:r>
      <w:r>
        <w:rPr>
          <w:i/>
          <w:iCs/>
        </w:rPr>
        <w:t xml:space="preserve">if we cluster the unlabeled data and treat a small cluster as if it were an anomaly cluster, does the ranking of detectors on this pseudo-anomaly task predict the ranking on real anomalies?</w:t>
      </w:r>
      <w:r>
        <w:t xml:space="preserve"> </w:t>
      </w:r>
      <w: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t xml:space="preserve">Our contributions:</w:t>
      </w:r>
    </w:p>
    <w:p>
      <w:pPr>
        <w:pStyle w:val="Compact"/>
        <w:numPr>
          <w:ilvl w:val="0"/>
          <w:numId w:val="1001"/>
        </w:numPr>
        <w:ind w:left="360" w:hanging="259"/>
        <w:jc w:val="both"/>
        <w:keepNext w:val="0"/>
        <w:keepLines w:val="0"/>
        <w:widowControl w:val="1"/>
      </w:pPr>
      <w:r>
        <w:rPr>
          <w:b/>
          <w:bCs/>
        </w:rPr>
        <w:t xml:space="preserve">ADRank</w:t>
      </w:r>
      <w: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t xml:space="preserve">A</w:t>
      </w:r>
      <w:r>
        <w:t xml:space="preserve"> </w:t>
      </w:r>
      <w:r>
        <w:rPr>
          <w:b/>
          <w:bCs/>
        </w:rPr>
        <w:t xml:space="preserve">regret-based evaluation</w:t>
      </w:r>
      <w:r>
        <w:t xml:space="preserve"> </w:t>
      </w:r>
      <w:r>
        <w:t xml:space="preserve">of unsupervised detector selection that is threshold-free and stable, avoiding the boundary artifacts of thresholded rank-correlation, and an</w:t>
      </w:r>
      <w:r>
        <w:t xml:space="preserve"> </w:t>
      </w:r>
      <w:r>
        <w:rPr>
          <w:b/>
          <w:bCs/>
        </w:rPr>
        <w:t xml:space="preserve">empirical validation</w:t>
      </w:r>
      <w:r>
        <w:t xml:space="preserve"> </w:t>
      </w:r>
      <w:r>
        <w:t xml:space="preserve">on 69 datasets across four modalities (tabular, image, text, time-series) with 9 canonical PyOD detectors and five seeds. ADRank cuts selection regret vs random by 77–90% on tabular, image, and time-series data, and 21% on text. The natural consensus baseline scores Spearman ρ = -0.15, worse than random.</w:t>
      </w:r>
    </w:p>
    <w:p>
      <w:pPr>
        <w:pStyle w:val="Compact"/>
        <w:numPr>
          <w:ilvl w:val="0"/>
          <w:numId w:val="1001"/>
        </w:numPr>
        <w:ind w:left="360" w:hanging="259"/>
        <w:jc w:val="both"/>
        <w:keepNext w:val="0"/>
        <w:keepLines w:val="0"/>
        <w:widowControl w:val="1"/>
      </w:pPr>
      <w:r>
        <w:t xml:space="preserve">An</w:t>
      </w:r>
      <w:r>
        <w:t xml:space="preserve"> </w:t>
      </w:r>
      <w:r>
        <w:rPr>
          <w:b/>
          <w:bCs/>
        </w:rPr>
        <w:t xml:space="preserve">unsupervised auto-calibration</w:t>
      </w:r>
      <w:r>
        <w:t xml:space="preserve"> </w:t>
      </w:r>
      <w:r>
        <w:t xml:space="preserve">that removes the text weak spot: run a bank of pseudo-anomaly regimes and weight each by its cross-detector pseudo-AUC variance, a label-free measure of how informative the regime is. This weighting recovers near-oracle regret on all four modalities (78–93% below random) and cuts text regret tenfold, because it automatically up-weights a locally-embedded ("hard") regime that exercises the local-density structure text detectors need.</w:t>
      </w:r>
    </w:p>
    <w:p>
      <w:pPr>
        <w:pStyle w:val="Compact"/>
        <w:numPr>
          <w:ilvl w:val="0"/>
          <w:numId w:val="1001"/>
        </w:numPr>
        <w:ind w:left="360" w:hanging="259"/>
        <w:jc w:val="both"/>
        <w:keepNext w:val="0"/>
        <w:keepLines w:val="0"/>
        <w:widowControl w:val="1"/>
      </w:pPr>
      <w:r>
        <w:rPr>
          <w:b/>
          <w:bCs/>
        </w:rPr>
        <w:t xml:space="preserve">Ablations, panel robustness, and stability</w:t>
      </w:r>
      <w:r>
        <w:t xml:space="preserve"> </w:t>
      </w:r>
      <w: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t xml:space="preserve">2. Related work</w:t>
      </w:r>
    </w:p>
    <w:p>
      <w:pPr>
        <w:pStyle w:val="FirstParagraph"/>
        <w:jc w:val="both"/>
        <w:keepNext w:val="0"/>
        <w:keepLines w:val="0"/>
        <w:widowControl w:val="1"/>
      </w:pPr>
      <w:r>
        <w:rPr>
          <w:b/>
          <w:bCs/>
        </w:rPr>
        <w:t xml:space="preserve">Anomaly detectors and benchmarks.</w:t>
      </w:r>
      <w:r>
        <w:t xml:space="preserve"> </w:t>
      </w:r>
      <w:r>
        <w:t xml:space="preserve">The detectors we rank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rPr>
        <w:t xml:space="preserve">Unsupervised model and hyperparameter selection.</w:t>
      </w:r>
      <w:r>
        <w:t xml:space="preserve"> </w:t>
      </w:r>
      <w: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rPr>
        <w:t xml:space="preserve">Consensus and outlier ensembles.</w:t>
      </w:r>
      <w:r>
        <w:t xml:space="preserve"> </w:t>
      </w:r>
      <w: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rPr>
        <w:t xml:space="preserve">Pseudo-labels and self-supervised anomaly detection.</w:t>
      </w:r>
      <w:r>
        <w:t xml:space="preserve"> </w:t>
      </w:r>
      <w: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t xml:space="preserve"> </w:t>
      </w:r>
      <w:r>
        <w:rPr>
          <w:i/>
          <w:iCs/>
        </w:rPr>
        <w:t xml:space="preserve">train</w:t>
      </w:r>
      <w:r>
        <w:t xml:space="preserve"> </w:t>
      </w:r>
      <w:r>
        <w:t xml:space="preserve">a single detector. ADRank uses pseudo-labels for the different purpose of</w:t>
      </w:r>
      <w:r>
        <w:t xml:space="preserve"> </w:t>
      </w:r>
      <w:r>
        <w:rPr>
          <w:i/>
          <w:iCs/>
        </w:rPr>
        <w:t xml:space="preserve">ranking</w:t>
      </w:r>
      <w:r>
        <w:t xml:space="preserve"> </w:t>
      </w:r>
      <w: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t xml:space="preserve">3. Method</w:t>
      </w:r>
    </w:p>
    <w:p>
      <w:pPr>
        <w:pStyle w:val="FirstParagraph"/>
        <w:jc w:val="both"/>
        <w:keepNext w:val="0"/>
        <w:keepLines w:val="0"/>
        <w:widowControl w:val="1"/>
      </w:pPr>
      <w:r>
        <w:t xml:space="preserve">Let</w:t>
      </w:r>
      <w:r>
        <w:t xml:space="preserve"> </w:t>
      </w:r>
      <m:oMath>
        <m:r>
          <m:t>X</m:t>
        </m:r>
        <m:r>
          <m:rPr>
            <m:sty m:val="p"/>
          </m:rPr>
          <m:t>∈</m:t>
        </m:r>
        <m:sSup>
          <m:e>
            <m:r>
              <m:rPr>
                <m:scr m:val="double-struck"/>
                <m:sty m:val="p"/>
              </m:rPr>
              <m:t>R</m:t>
            </m:r>
          </m:e>
          <m:sup>
            <m:r>
              <m:t>n</m:t>
            </m:r>
            <m:r>
              <m:rPr>
                <m:sty m:val="p"/>
              </m:rPr>
              <m:t>×</m:t>
            </m:r>
            <m:r>
              <m:t>d</m:t>
            </m:r>
          </m:sup>
        </m:sSup>
      </m:oMath>
      <w:r>
        <w:t xml:space="preserve"> </w:t>
      </w:r>
      <w:r>
        <w:t xml:space="preserve">be an unlabeled tabular dataset and let</w:t>
      </w:r>
      <w: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t xml:space="preserve"> </w:t>
      </w:r>
      <w:r>
        <w:t xml:space="preserve">be a panel of anomaly detectors. Each detector produces a decision function</w:t>
      </w:r>
      <w: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where higher values mean more anomalous. Our goal is a per-dataset ranking</w:t>
      </w:r>
      <w: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that approximates the ranking</w:t>
      </w:r>
      <w:r>
        <w:t xml:space="preserve"> </w:t>
      </w:r>
      <m:oMath>
        <m:sSubSup>
          <m:e>
            <m:r>
              <m:t>π</m:t>
            </m:r>
          </m:e>
          <m:sub>
            <m:r>
              <m:t>X</m:t>
            </m:r>
          </m:sub>
          <m:sup>
            <m:r>
              <m:rPr>
                <m:sty m:val="p"/>
              </m:rPr>
              <m:t>*</m:t>
            </m:r>
          </m:sup>
        </m:sSubSup>
      </m:oMath>
      <w:r>
        <w:t xml:space="preserve"> </w:t>
      </w:r>
      <w:r>
        <w:t xml:space="preserve">induced by ROC-AUC on real anomaly labels.</w:t>
      </w:r>
    </w:p>
    <w:p>
      <w:pPr>
        <w:pStyle w:val="BodyText"/>
        <w:jc w:val="both"/>
        <w:keepNext w:val="0"/>
        <w:keepLines w:val="0"/>
        <w:widowControl w:val="1"/>
      </w:pPr>
      <w:r>
        <w:rPr>
          <w:b/>
          <w:bCs/>
        </w:rPr>
        <w:t xml:space="preserve">Embedding and clustering.</w:t>
      </w:r>
      <w:r>
        <w:t xml:space="preserve"> </w:t>
      </w:r>
      <w:r>
        <w:t xml:space="preserve">Standardize</w:t>
      </w:r>
      <w:r>
        <w:t xml:space="preserve"> </w:t>
      </w:r>
      <m:oMath>
        <m:r>
          <m:t>X</m:t>
        </m:r>
      </m:oMath>
      <w:r>
        <w:t xml:space="preserve"> </w:t>
      </w:r>
      <w:r>
        <w:t xml:space="preserve">and apply PCA to 16 dimensions (or keep</w:t>
      </w:r>
      <w:r>
        <w:t xml:space="preserve"> </w:t>
      </w:r>
      <m:oMath>
        <m:r>
          <m:t>d</m:t>
        </m:r>
      </m:oMath>
      <w:r>
        <w:t xml:space="preserve"> </w:t>
      </w:r>
      <w:r>
        <w:t xml:space="preserve">if</w:t>
      </w:r>
      <w:r>
        <w:t xml:space="preserve"> </w:t>
      </w:r>
      <m:oMath>
        <m:r>
          <m:t>d</m:t>
        </m:r>
        <m:r>
          <m:rPr>
            <m:sty m:val="p"/>
          </m:rPr>
          <m:t>≤</m:t>
        </m:r>
        <m:r>
          <m:t>16</m:t>
        </m:r>
      </m:oMath>
      <w:r>
        <w:t xml:space="preserve">). Cluster the embedding with MiniBatchKMeans at</w:t>
      </w:r>
      <w:r>
        <w:t xml:space="preserve"> </w:t>
      </w:r>
      <m:oMath>
        <m:r>
          <m:t>K</m:t>
        </m:r>
      </m:oMath>
      <w:r>
        <w:t xml:space="preserve"> </w:t>
      </w:r>
      <w:r>
        <w:t xml:space="preserve">clusters, obtaining assignments</w:t>
      </w:r>
      <w: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t xml:space="preserve">.</w:t>
      </w:r>
    </w:p>
    <w:p>
      <w:pPr>
        <w:pStyle w:val="BodyText"/>
        <w:jc w:val="both"/>
        <w:keepNext w:val="0"/>
        <w:keepLines w:val="0"/>
        <w:widowControl w:val="1"/>
      </w:pPr>
      <w:r>
        <w:rPr>
          <w:b/>
          <w:bCs/>
        </w:rPr>
        <w:t xml:space="preserve">Cluster subset sampling.</w:t>
      </w:r>
      <w:r>
        <w:t xml:space="preserve"> </w:t>
      </w:r>
      <w:r>
        <w:t xml:space="preserve">Rank clusters by size ascending and let the candidate pool</w:t>
      </w:r>
      <w:r>
        <w:t xml:space="preserve"> </w:t>
      </w:r>
      <m:oMath>
        <m:r>
          <m:rPr>
            <m:scr m:val="script"/>
            <m:sty m:val="p"/>
          </m:rPr>
          <m:t>C</m:t>
        </m:r>
      </m:oMath>
      <w:r>
        <w:t xml:space="preserve"> </w:t>
      </w:r>
      <w:r>
        <w:t xml:space="preserve">be the smallest half. For each of</w:t>
      </w:r>
      <w:r>
        <w:t xml:space="preserve"> </w:t>
      </w:r>
      <m:oMath>
        <m:r>
          <m:t>M</m:t>
        </m:r>
        <m:r>
          <m:rPr>
            <m:sty m:val="p"/>
          </m:rPr>
          <m:t>=</m:t>
        </m:r>
        <m:r>
          <m:t>20</m:t>
        </m:r>
      </m:oMath>
      <w:r>
        <w:t xml:space="preserve"> </w:t>
      </w:r>
      <w:r>
        <w:t xml:space="preserve">draws, sample from</w:t>
      </w:r>
      <w:r>
        <w:t xml:space="preserve"> </w:t>
      </w:r>
      <m:oMath>
        <m:r>
          <m:rPr>
            <m:scr m:val="script"/>
            <m:sty m:val="p"/>
          </m:rPr>
          <m:t>C</m:t>
        </m:r>
      </m:oMath>
      <w:r>
        <w:t xml:space="preserve"> </w:t>
      </w:r>
      <w:r>
        <w:t xml:space="preserve">without replacement until the union has size</w:t>
      </w:r>
      <w:r>
        <w:t xml:space="preserve"> </w:t>
      </w:r>
      <m:oMath>
        <m:r>
          <m:rPr>
            <m:sty m:val="p"/>
          </m:rPr>
          <m:t>≥</m:t>
        </m:r>
        <m:r>
          <m:rPr>
            <m:sty m:val="p"/>
          </m:rPr>
          <m:t>max</m:t>
        </m:r>
        <m:r>
          <m:rPr>
            <m:sty m:val="p"/>
          </m:rPr>
          <m:t>(</m:t>
        </m:r>
        <m:r>
          <m:t>20</m:t>
        </m:r>
        <m:r>
          <m:rPr>
            <m:sty m:val="p"/>
          </m:rPr>
          <m:t>,</m:t>
        </m:r>
        <m:r>
          <m:t>0.05</m:t>
        </m:r>
        <m:r>
          <m:t>n</m:t>
        </m:r>
        <m:r>
          <m:rPr>
            <m:sty m:val="p"/>
          </m:rPr>
          <m:t>)</m:t>
        </m:r>
      </m:oMath>
      <w:r>
        <w:t xml:space="preserve">. The union</w:t>
      </w:r>
      <w:r>
        <w:t xml:space="preserve"> </w:t>
      </w:r>
      <m:oMath>
        <m:sSub>
          <m:e>
            <m:r>
              <m:t>S</m:t>
            </m:r>
          </m:e>
          <m:sub>
            <m:r>
              <m:t>j</m:t>
            </m:r>
          </m:sub>
        </m:sSub>
      </m:oMath>
      <w:r>
        <w:t xml:space="preserve"> </w:t>
      </w:r>
      <w:r>
        <w:t xml:space="preserve">is the pseudo-anomaly set for draw</w:t>
      </w:r>
      <w:r>
        <w:t xml:space="preserve"> </w:t>
      </w:r>
      <m:oMath>
        <m:r>
          <m:t>j</m:t>
        </m:r>
      </m:oMath>
      <w:r>
        <w:t xml:space="preserve">. From the complement, uniformly sample 20% as the pseudo-normal fold</w:t>
      </w:r>
      <w:r>
        <w:t xml:space="preserve"> </w:t>
      </w:r>
      <m:oMath>
        <m:sSub>
          <m:e>
            <m:r>
              <m:t>N</m:t>
            </m:r>
          </m:e>
          <m:sub>
            <m:r>
              <m:t>j</m:t>
            </m:r>
          </m:sub>
        </m:sSub>
      </m:oMath>
      <w:r>
        <w:t xml:space="preserve">; the remainder is the training set</w:t>
      </w:r>
      <w:r>
        <w:t xml:space="preserve"> </w:t>
      </w:r>
      <m:oMath>
        <m:sSub>
          <m:e>
            <m:r>
              <m:t>T</m:t>
            </m:r>
          </m:e>
          <m:sub>
            <m:r>
              <m:t>j</m:t>
            </m:r>
          </m:sub>
        </m:sSub>
      </m:oMath>
      <w:r>
        <w:t xml:space="preserve">.</w:t>
      </w:r>
    </w:p>
    <w:p>
      <w:pPr>
        <w:pStyle w:val="BodyText"/>
        <w:jc w:val="both"/>
        <w:keepNext w:val="0"/>
        <w:keepLines w:val="0"/>
        <w:widowControl w:val="1"/>
      </w:pPr>
      <w:r>
        <w:rPr>
          <w:b/>
          <w:bCs/>
        </w:rPr>
        <w:t xml:space="preserve">Pseudo-AUC.</w:t>
      </w:r>
      <w:r>
        <w:t xml:space="preserve"> </w:t>
      </w:r>
      <w:r>
        <w:t xml:space="preserve">For each detector</w:t>
      </w:r>
      <w:r>
        <w:t xml:space="preserve"> </w:t>
      </w:r>
      <m:oMath>
        <m:r>
          <m:t>D</m:t>
        </m:r>
      </m:oMath>
      <w:r>
        <w:t xml:space="preserve"> </w:t>
      </w:r>
      <w:r>
        <w:t xml:space="preserve">and draw</w:t>
      </w:r>
      <w:r>
        <w:t xml:space="preserve"> </w:t>
      </w:r>
      <m:oMath>
        <m:r>
          <m:t>j</m:t>
        </m:r>
      </m:oMath>
      <w:r>
        <w:t xml:space="preserve">, fit</w:t>
      </w:r>
      <w:r>
        <w:t xml:space="preserve"> </w:t>
      </w:r>
      <m:oMath>
        <m:r>
          <m:t>D</m:t>
        </m:r>
      </m:oMath>
      <w:r>
        <w:t xml:space="preserve"> </w:t>
      </w:r>
      <w:r>
        <w:t xml:space="preserve">on</w:t>
      </w:r>
      <w:r>
        <w:t xml:space="preserve"> </w:t>
      </w:r>
      <m:oMath>
        <m:sSub>
          <m:e>
            <m:r>
              <m:t>T</m:t>
            </m:r>
          </m:e>
          <m:sub>
            <m:r>
              <m:t>j</m:t>
            </m:r>
          </m:sub>
        </m:sSub>
      </m:oMath>
      <w:r>
        <w:t xml:space="preserve">, score both</w:t>
      </w:r>
      <w:r>
        <w:t xml:space="preserve"> </w:t>
      </w:r>
      <m:oMath>
        <m:sSub>
          <m:e>
            <m:r>
              <m:t>S</m:t>
            </m:r>
          </m:e>
          <m:sub>
            <m:r>
              <m:t>j</m:t>
            </m:r>
          </m:sub>
        </m:sSub>
      </m:oMath>
      <w:r>
        <w:t xml:space="preserve"> </w:t>
      </w:r>
      <w:r>
        <w:t xml:space="preserve">and</w:t>
      </w:r>
      <w:r>
        <w:t xml:space="preserve"> </w:t>
      </w:r>
      <m:oMath>
        <m:sSub>
          <m:e>
            <m:r>
              <m:t>N</m:t>
            </m:r>
          </m:e>
          <m:sub>
            <m:r>
              <m:t>j</m:t>
            </m:r>
          </m:sub>
        </m:sSub>
      </m:oMath>
      <w:r>
        <w:t xml:space="preserve">, and compute pseudo-AUC</w:t>
      </w:r>
      <w: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t xml:space="preserve"> </w:t>
      </w:r>
      <w:r>
        <w:t xml:space="preserve">with</w:t>
      </w:r>
      <w:r>
        <w:t xml:space="preserve"> </w:t>
      </w:r>
      <m:oMath>
        <m:sSub>
          <m:e>
            <m:r>
              <m:t>S</m:t>
            </m:r>
          </m:e>
          <m:sub>
            <m:r>
              <m:t>j</m:t>
            </m:r>
          </m:sub>
        </m:sSub>
      </m:oMath>
      <w:r>
        <w:t xml:space="preserve"> </w:t>
      </w:r>
      <w:r>
        <w:t xml:space="preserve">labeled 1 and</w:t>
      </w:r>
      <w:r>
        <w:t xml:space="preserve"> </w:t>
      </w:r>
      <m:oMath>
        <m:sSub>
          <m:e>
            <m:r>
              <m:t>N</m:t>
            </m:r>
          </m:e>
          <m:sub>
            <m:r>
              <m:t>j</m:t>
            </m:r>
          </m:sub>
        </m:sSub>
      </m:oMath>
      <w:r>
        <w:t xml:space="preserve"> </w:t>
      </w:r>
      <w:r>
        <w:t xml:space="preserve">labeled 0. If</w:t>
      </w:r>
      <w:r>
        <w:t xml:space="preserve"> </w:t>
      </w:r>
      <m:oMath>
        <m:r>
          <m:t>D</m:t>
        </m:r>
      </m:oMath>
      <w:r>
        <w:t xml:space="preserve"> </w:t>
      </w:r>
      <w:r>
        <w:t xml:space="preserve">fails on</w:t>
      </w:r>
      <w:r>
        <w:t xml:space="preserve"> </w:t>
      </w:r>
      <m:oMath>
        <m:sSub>
          <m:e>
            <m:r>
              <m:t>T</m:t>
            </m:r>
          </m:e>
          <m:sub>
            <m:r>
              <m:t>j</m:t>
            </m:r>
          </m:sub>
        </m:sSub>
      </m:oMath>
      <w:r>
        <w:t xml:space="preserve">, or emits a non-finite or constant score vector, set</w:t>
      </w:r>
      <w:r>
        <w:t xml:space="preserve"> </w:t>
      </w:r>
      <m:oMath>
        <m:sSub>
          <m:e>
            <m:r>
              <m:t>A</m:t>
            </m:r>
          </m:e>
          <m:sub>
            <m:r>
              <m:t>D</m:t>
            </m:r>
            <m:r>
              <m:rPr>
                <m:sty m:val="p"/>
              </m:rPr>
              <m:t>,</m:t>
            </m:r>
            <m:r>
              <m:t>j</m:t>
            </m:r>
          </m:sub>
        </m:sSub>
      </m:oMath>
      <w:r>
        <w:t xml:space="preserve"> </w:t>
      </w:r>
      <w:r>
        <w:t xml:space="preserve">to missing.</w:t>
      </w:r>
    </w:p>
    <w:p>
      <w:pPr>
        <w:pStyle w:val="BodyText"/>
        <w:jc w:val="both"/>
        <w:keepNext w:val="0"/>
        <w:keepLines w:val="0"/>
        <w:widowControl w:val="1"/>
      </w:pPr>
      <w:r>
        <w:rPr>
          <w:b/>
          <w:bCs/>
        </w:rPr>
        <w:t xml:space="preserve">Aggregation and ranking.</w:t>
      </w:r>
      <w:r>
        <w:t xml:space="preserve"> </w:t>
      </w:r>
      <w:r>
        <w:t xml:space="preserve">Within one regime, the aggregation is</w:t>
      </w:r>
      <w: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t xml:space="preserve"> </w:t>
      </w:r>
      <w:r>
        <w:t xml:space="preserve">over non-missing</w:t>
      </w:r>
      <w:r>
        <w:t xml:space="preserve"> </w:t>
      </w:r>
      <m:oMath>
        <m:r>
          <m:t>j</m:t>
        </m:r>
      </m:oMath>
      <w:r>
        <w:t xml:space="preserve">, and detectors are ranked by</w:t>
      </w:r>
      <w:r>
        <w:t xml:space="preserve"> </w:t>
      </w:r>
      <m:oMath>
        <m:sSub>
          <m:e>
            <m:acc>
              <m:accPr>
                <m:chr m:val="‾"/>
              </m:accPr>
              <m:e>
                <m:r>
                  <m:t>A</m:t>
                </m:r>
              </m:e>
            </m:acc>
          </m:e>
          <m:sub>
            <m:r>
              <m:t>D</m:t>
            </m:r>
          </m:sub>
        </m:sSub>
      </m:oMath>
      <w:r>
        <w:t xml:space="preserve"> </w:t>
      </w:r>
      <w:r>
        <w:t xml:space="preserve">descending. Borda over per-draw ranks and variance-weighted mean perform within ±0.02 ρ of the mean.</w:t>
      </w:r>
    </w:p>
    <w:p>
      <w:pPr>
        <w:pStyle w:val="BodyText"/>
        <w:jc w:val="both"/>
        <w:keepNext w:val="0"/>
        <w:keepLines w:val="0"/>
        <w:widowControl w:val="1"/>
      </w:pPr>
      <w:r>
        <w:rPr>
          <w:b/>
          <w:bCs/>
        </w:rPr>
        <w:t xml:space="preserve">Auto-calibration over a regime bank.</w:t>
      </w:r>
      <w:r>
        <w:t xml:space="preserve"> </w:t>
      </w:r>
      <w:r>
        <w:t xml:space="preserve">A single pseudo-anomaly regime (one cluster-selection rule and one</w:t>
      </w:r>
      <w:r>
        <w:t xml:space="preserve"> </w:t>
      </w:r>
      <m:oMath>
        <m:r>
          <m:t>K</m:t>
        </m:r>
      </m:oMath>
      <w:r>
        <w:t xml:space="preserve">) can be blind to the structure that separates the best detector from its near-twin, most visibly on text, where held-out compact clusters are separated equally well by global-distance (KNN) and local-density (LOF) detectors, so the regime fails to prefer the LOF that wins on real anomalies. We therefore run a bank of regimes, cluster-selection ∈ {smallest, random, hard} ×</w:t>
      </w:r>
      <w:r>
        <w:t xml:space="preserve"> </w:t>
      </w:r>
      <m:oMath>
        <m:r>
          <m:t>K</m:t>
        </m:r>
      </m:oMath>
      <w:r>
        <w:t xml:space="preserve"> </w:t>
      </w:r>
      <w:r>
        <w:t xml:space="preserve">∈ {30, 50}, where</w:t>
      </w:r>
      <w:r>
        <w:t xml:space="preserve"> </w:t>
      </w:r>
      <w:r>
        <w:rPr>
          <w:i/>
          <w:iCs/>
        </w:rPr>
        <w:t xml:space="preserve">hard</w:t>
      </w:r>
      <w:r>
        <w:t xml:space="preserve"> </w:t>
      </w:r>
      <w:r>
        <w:t xml:space="preserve">holds out clusters embedded among others (small distance to neighboring centroids), which are locally sparse rather than globally isolated. For each regime</w:t>
      </w:r>
      <w:r>
        <w:t xml:space="preserve"> </w:t>
      </w:r>
      <m:oMath>
        <m:r>
          <m:t>r</m:t>
        </m:r>
      </m:oMath>
      <w:r>
        <w:t xml:space="preserve"> </w:t>
      </w:r>
      <w:r>
        <w:t xml:space="preserve">we compute the per-detector mean pseudo-AUC and a weight</w:t>
      </w:r>
      <w: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t xml:space="preserve">: the variance of pseudo-AUC across detectors, which is large exactly when the regime discriminates the detectors and near zero when it cannot. The final ranking is the</w:t>
      </w:r>
      <w:r>
        <w:t xml:space="preserve"> </w:t>
      </w:r>
      <m:oMath>
        <m:sSub>
          <m:e>
            <m:r>
              <m:t>w</m:t>
            </m:r>
          </m:e>
          <m:sub>
            <m:r>
              <m:t>r</m:t>
            </m:r>
          </m:sub>
        </m:sSub>
      </m:oMath>
      <w:r>
        <w:t xml:space="preserve">-weighted average of the per-regime detector ranks. The weight uses only pseudo-AUC and never a label; it automatically up-weights whichever regime is informative for the dataset at hand.</w:t>
      </w:r>
    </w:p>
    <w:bookmarkEnd w:id="12"/>
    <w:bookmarkStart w:id="13" w:name="Xf301b5e488a5b50d2a8e93662881f92ddaf2e62"/>
    <w:p>
      <w:pPr>
        <w:pStyle w:val="Heading2"/>
        <w:keepNext/>
        <w:keepLines/>
        <w:widowControl w:val="1"/>
      </w:pPr>
      <w:r>
        <w:t xml:space="preserve">4. Experimental setup</w:t>
      </w:r>
    </w:p>
    <w:p>
      <w:pPr>
        <w:pStyle w:val="FirstParagraph"/>
        <w:jc w:val="both"/>
        <w:keepNext w:val="0"/>
        <w:keepLines w:val="0"/>
        <w:widowControl w:val="1"/>
      </w:pPr>
      <w:r>
        <w:rPr>
          <w:b/>
          <w:bCs/>
        </w:rPr>
        <w:t xml:space="preserve">Datasets.</w:t>
      </w:r>
      <w:r>
        <w:t xml:space="preserve"> </w:t>
      </w:r>
      <w:r>
        <w:t xml:space="preserve">Our primary benchmark is the 35 ADBench Classical</w:t>
      </w:r>
      <w:r>
        <w:t xml:space="preserve"> </w:t>
      </w:r>
      <w:r>
        <w:rPr>
          <w:rStyle w:val="VerbatimChar"/>
        </w:rPr>
        <w:t xml:space="preserve">.npz</w:t>
      </w:r>
      <w:r>
        <w:t xml:space="preserve"> </w:t>
      </w:r>
      <w:r>
        <w:t xml:space="preserve">files from [5]; after a size filter</w:t>
      </w:r>
      <w:r>
        <w:t xml:space="preserve"> </w:t>
      </w:r>
      <m:oMath>
        <m:r>
          <m:t>200</m:t>
        </m:r>
        <m:r>
          <m:rPr>
            <m:sty m:val="p"/>
          </m:rPr>
          <m:t>≤</m:t>
        </m:r>
        <m:r>
          <m:t>n</m:t>
        </m:r>
        <m:r>
          <m:rPr>
            <m:sty m:val="p"/>
          </m:rPr>
          <m:t>≤</m:t>
        </m:r>
        <m:r>
          <m:t>50</m:t>
        </m:r>
        <m:r>
          <m:rPr>
            <m:sty m:val="p"/>
          </m:rPr>
          <m:t>,</m:t>
        </m:r>
        <m:r>
          <m:t>000</m:t>
        </m:r>
      </m:oMath>
      <w: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t xml:space="preserve"> </w:t>
      </w:r>
      <m:oMath>
        <m:r>
          <m:rPr>
            <m:sty m:val="p"/>
          </m:rPr>
          <m:t>≤</m:t>
        </m:r>
        <m:r>
          <m:t>35</m:t>
        </m:r>
        <m:r>
          <m:rPr>
            <m:sty m:val="p"/>
          </m:rPr>
          <m:t>%</m:t>
        </m:r>
      </m:oMath>
      <w:r>
        <w:t xml:space="preserve">), which shares some UCI sources with ADBench but applies the Campos et al. normalization and de-duplication protocol, so it tests robustness to preprocessing rather than to disjoint data. Labels are used only to compute the ground-truth ranking</w:t>
      </w:r>
      <w:r>
        <w:t xml:space="preserve"> </w:t>
      </w:r>
      <m:oMath>
        <m:sSubSup>
          <m:e>
            <m:r>
              <m:t>π</m:t>
            </m:r>
          </m:e>
          <m:sub>
            <m:r>
              <m:t>X</m:t>
            </m:r>
          </m:sub>
          <m:sup>
            <m:r>
              <m:rPr>
                <m:sty m:val="p"/>
              </m:rPr>
              <m:t>*</m:t>
            </m:r>
          </m:sup>
        </m:sSubSup>
      </m:oMath>
      <w:r>
        <w:t xml:space="preserve">; ADRank never sees them.</w:t>
      </w:r>
    </w:p>
    <w:p>
      <w:pPr>
        <w:pStyle w:val="BodyText"/>
        <w:jc w:val="both"/>
        <w:keepNext w:val="0"/>
        <w:keepLines w:val="0"/>
        <w:widowControl w:val="1"/>
      </w:pPr>
      <w:r>
        <w:rPr>
          <w:b/>
          <w:bCs/>
        </w:rPr>
        <w:t xml:space="preserve">Detectors.</w:t>
      </w:r>
      <w:r>
        <w:t xml:space="preserve"> </w:t>
      </w:r>
      <w: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rPr>
        <w:t xml:space="preserve">Ground truth.</w:t>
      </w:r>
      <w:r>
        <w:t xml:space="preserve"> </w:t>
      </w:r>
      <w:r>
        <w:t xml:space="preserve">For each dataset, we split the normal points 80/20; fit each detector on the 80% normal training fold; evaluate ROC-AUC on the union of the 20% normal test fold and all real anomalies. The ordering by ROC-AUC gives</w:t>
      </w:r>
      <w:r>
        <w:t xml:space="preserve"> </w:t>
      </w:r>
      <m:oMath>
        <m:sSubSup>
          <m:e>
            <m:r>
              <m:t>π</m:t>
            </m:r>
          </m:e>
          <m:sub>
            <m:r>
              <m:t>X</m:t>
            </m:r>
          </m:sub>
          <m:sup>
            <m:r>
              <m:rPr>
                <m:sty m:val="p"/>
              </m:rPr>
              <m:t>*</m:t>
            </m:r>
          </m:sup>
        </m:sSubSup>
      </m:oMath>
      <w:r>
        <w:t xml:space="preserve">.</w:t>
      </w:r>
    </w:p>
    <w:p>
      <w:pPr>
        <w:pStyle w:val="BodyText"/>
        <w:jc w:val="both"/>
        <w:keepNext w:val="0"/>
        <w:keepLines w:val="0"/>
        <w:widowControl w:val="1"/>
      </w:pPr>
      <w:r>
        <w:rPr>
          <w:b/>
          <w:bCs/>
        </w:rPr>
        <w:t xml:space="preserve">Primary metric: regret.</w:t>
      </w:r>
      <w:r>
        <w:t xml:space="preserve"> </w:t>
      </w:r>
      <w:r>
        <w:t xml:space="preserve">A detector selector exists to pick a good detector, so we measure it by what the user loses from its choice. Let</w:t>
      </w:r>
      <w:r>
        <w:t xml:space="preserve"> </w:t>
      </w:r>
      <m:oMath>
        <m:acc>
          <m:accPr>
            <m:chr m:val="̂"/>
          </m:accPr>
          <m:e>
            <m:r>
              <m:t>D</m:t>
            </m:r>
          </m:e>
        </m:acc>
      </m:oMath>
      <w:r>
        <w:t xml:space="preserve"> </w:t>
      </w:r>
      <w:r>
        <w:t xml:space="preserve">be the detector ADRank ranks first and</w:t>
      </w:r>
      <w: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t xml:space="preserve"> </w:t>
      </w:r>
      <w:r>
        <w:t xml:space="preserve">the true ROC-AUC of detector</w:t>
      </w:r>
      <w:r>
        <w:t xml:space="preserve"> </w:t>
      </w:r>
      <m:oMath>
        <m:r>
          <m:t>D</m:t>
        </m:r>
      </m:oMath>
      <w: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t xml:space="preserve">and regret@3 uses the best of ADRank's top three picks. Regret is</w:t>
      </w:r>
      <w:r>
        <w:t xml:space="preserve"> </w:t>
      </w:r>
      <w:r>
        <w:rPr>
          <w:b/>
          <w:bCs/>
        </w:rPr>
        <w:t xml:space="preserve">threshold-free</w:t>
      </w:r>
      <w:r>
        <w:t xml:space="preserve"> </w:t>
      </w:r>
      <w:r>
        <w:t xml:space="preserve">and</w:t>
      </w:r>
      <w:r>
        <w:t xml:space="preserve"> </w:t>
      </w:r>
      <w:r>
        <w:rPr>
          <w:b/>
          <w:bCs/>
        </w:rPr>
        <w:t xml:space="preserve">self-neutralizing</w:t>
      </w:r>
      <w:r>
        <w:t xml:space="preserve">: on a dataset where all detectors tie, any pick has regret ≈ 0, so ill-posed datasets neither help nor hurt the aggregate and need no filtering. It is also</w:t>
      </w:r>
      <w:r>
        <w:t xml:space="preserve"> </w:t>
      </w:r>
      <w:r>
        <w:rPr>
          <w:b/>
          <w:bCs/>
        </w:rPr>
        <w:t xml:space="preserve">decision-relevant</w:t>
      </w:r>
      <w: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t xml:space="preserve">.</w:t>
      </w:r>
    </w:p>
    <w:p>
      <w:pPr>
        <w:pStyle w:val="BodyText"/>
        <w:jc w:val="both"/>
        <w:keepNext w:val="0"/>
        <w:keepLines w:val="0"/>
        <w:widowControl w:val="1"/>
      </w:pPr>
      <w:r>
        <w:rPr>
          <w:b/>
          <w:bCs/>
        </w:rPr>
        <w:t xml:space="preserve">Relative companion: skill.</w:t>
      </w:r>
      <w:r>
        <w:t xml:space="preserve"> </w:t>
      </w:r>
      <w:r>
        <w:t xml:space="preserve">Absolute regret does not say whether a given loss is large for that dataset. We therefore also report a skill score,</w:t>
      </w:r>
      <w: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t xml:space="preserve">). Skill is the per-dataset form of the reduction-versus-random percentages reported throughout.</w:t>
      </w:r>
    </w:p>
    <w:p>
      <w:pPr>
        <w:pStyle w:val="BodyText"/>
        <w:jc w:val="both"/>
        <w:keepNext w:val="0"/>
        <w:keepLines w:val="0"/>
        <w:widowControl w:val="1"/>
      </w:pPr>
      <w:r>
        <w:rPr>
          <w:b/>
          <w:bCs/>
        </w:rPr>
        <w:t xml:space="preserve">Secondary metric: rank correlation.</w:t>
      </w:r>
      <w:r>
        <w:t xml:space="preserve"> </w:t>
      </w:r>
      <w:r>
        <w:t xml:space="preserve">For continuity with prior work we also report Spearman ρ between</w:t>
      </w:r>
      <w:r>
        <w:t xml:space="preserve"> </w:t>
      </w:r>
      <m:oMath>
        <m:sSub>
          <m:e>
            <m:r>
              <m:t>π</m:t>
            </m:r>
          </m:e>
          <m:sub>
            <m:r>
              <m:t>X</m:t>
            </m:r>
          </m:sub>
        </m:sSub>
      </m:oMath>
      <w:r>
        <w:t xml:space="preserve"> </w:t>
      </w:r>
      <w:r>
        <w:t xml:space="preserve">and</w:t>
      </w:r>
      <w:r>
        <w:t xml:space="preserve"> </w:t>
      </w:r>
      <m:oMath>
        <m:sSubSup>
          <m:e>
            <m:r>
              <m:t>π</m:t>
            </m:r>
          </m:e>
          <m:sub>
            <m:r>
              <m:t>X</m:t>
            </m:r>
          </m:sub>
          <m:sup>
            <m:r>
              <m:rPr>
                <m:sty m:val="p"/>
              </m:rPr>
              <m:t>*</m:t>
            </m:r>
          </m:sup>
        </m:sSubSup>
      </m:oMath>
      <w:r>
        <w:t xml:space="preserve">, and top-1 / top-3 hit rates. Because ρ is undefined when</w:t>
      </w:r>
      <w:r>
        <w:t xml:space="preserve"> </w:t>
      </w:r>
      <m:oMath>
        <m:sSubSup>
          <m:e>
            <m:r>
              <m:t>π</m:t>
            </m:r>
          </m:e>
          <m:sub>
            <m:r>
              <m:t>X</m:t>
            </m:r>
          </m:sub>
          <m:sup>
            <m:r>
              <m:rPr>
                <m:sty m:val="p"/>
              </m:rPr>
              <m:t>*</m:t>
            </m:r>
          </m:sup>
        </m:sSubSup>
      </m:oMath>
      <w:r>
        <w:t xml:space="preserve"> </w:t>
      </w:r>
      <w: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rPr>
        <w:t xml:space="preserve">Baselines.</w:t>
      </w:r>
    </w:p>
    <w:p>
      <w:pPr>
        <w:pStyle w:val="Compact"/>
        <w:numPr>
          <w:ilvl w:val="0"/>
          <w:numId w:val="1002"/>
        </w:numPr>
        <w:ind w:left="360" w:hanging="259"/>
        <w:jc w:val="both"/>
        <w:keepNext w:val="0"/>
        <w:keepLines w:val="0"/>
        <w:widowControl w:val="1"/>
      </w:pPr>
      <w:r>
        <w:rPr>
          <w:i/>
          <w:iCs/>
        </w:rPr>
        <w:t xml:space="preserve">Random:</w:t>
      </w:r>
      <w:r>
        <w:t xml:space="preserve"> </w:t>
      </w:r>
      <w:r>
        <w:t xml:space="preserve">uniform detector ranking; expected ρ = 0, expected top-1 hit = 1/L.</w:t>
      </w:r>
    </w:p>
    <w:p>
      <w:pPr>
        <w:pStyle w:val="Compact"/>
        <w:numPr>
          <w:ilvl w:val="0"/>
          <w:numId w:val="1002"/>
        </w:numPr>
        <w:ind w:left="360" w:hanging="259"/>
        <w:jc w:val="both"/>
        <w:keepNext w:val="0"/>
        <w:keepLines w:val="0"/>
        <w:widowControl w:val="1"/>
      </w:pPr>
      <w:r>
        <w:rPr>
          <w:i/>
          <w:iCs/>
        </w:rPr>
        <w:t xml:space="preserve">Consensus:</w:t>
      </w:r>
      <w:r>
        <w:t xml:space="preserve"> </w:t>
      </w:r>
      <w: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rPr>
        <w:t xml:space="preserve">Excess-Mass / Mass-Volume (EM / MV):</w:t>
      </w:r>
      <w:r>
        <w:t xml:space="preserve"> </w:t>
      </w:r>
      <w: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rPr>
        <w:t xml:space="preserve">Scrambled ADRank:</w:t>
      </w:r>
      <w:r>
        <w:t xml:space="preserve"> </w:t>
      </w:r>
      <w:r>
        <w:t xml:space="preserve">apply ADRank but randomly permute the pseudo-AUC values before aggregation. Expected ρ = 0. Preregistered sanity check.</w:t>
      </w:r>
    </w:p>
    <w:p>
      <w:pPr>
        <w:pStyle w:val="FirstParagraph"/>
        <w:jc w:val="both"/>
        <w:keepNext w:val="0"/>
        <w:keepLines w:val="0"/>
        <w:widowControl w:val="1"/>
      </w:pPr>
      <w: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rPr>
        <w:t xml:space="preserve">Protocol.</w:t>
      </w:r>
      <w:r>
        <w:t xml:space="preserve"> </w:t>
      </w:r>
      <w:r>
        <w:t xml:space="preserve">Unless noted, results use the smallest+random cluster-selection ensemble, K = 30, M = 20, and are averaged over five seeds (0–4); each seed re-draws the clustering, the cluster subsets, and the ground-truth normal split. The full four-modality, five-seed sweep (69 datasets × up to two selection strategies × 5 seeds = 215 fan-out cells) runs in a few minutes on serverless CPU containers; a single-modality tabular pass runs in ~35 minutes on a consumer CPU with no GPU.</w:t>
      </w:r>
    </w:p>
    <w:bookmarkEnd w:id="13"/>
    <w:bookmarkStart w:id="33" w:name="Xf008beceec6d1c3a3c616f37281fffb37cae0fa"/>
    <w:p>
      <w:pPr>
        <w:pStyle w:val="Heading2"/>
        <w:keepNext/>
        <w:keepLines/>
        <w:widowControl w:val="1"/>
      </w:pPr>
      <w:r>
        <w:t xml:space="preserve">5. Results</w:t>
      </w:r>
    </w:p>
    <w:bookmarkStart w:id="20" w:name="X87cbc55fee687a5f88e8234bee94f1bcc6c89ea"/>
    <w:p>
      <w:pPr>
        <w:pStyle w:val="Heading3"/>
        <w:keepNext/>
        <w:keepLines/>
        <w:widowControl w:val="1"/>
      </w:pPr>
      <w:r>
        <w:t xml:space="preserve">5.1 Headline</w:t>
      </w:r>
    </w:p>
    <w:p>
      <w:pPr>
        <w:pStyle w:val="BodyText"/>
        <w:jc w:val="center"/>
        <w:keepNext/>
        <w:keepLines/>
        <w:widowControl w:val="1"/>
      </w:pPr>
      <w:r>
        <w:drawing>
          <wp:inline>
            <wp:extent cx="5943600" cy="4612400"/>
            <wp:effectExtent b="0" l="0" r="0" t="0"/>
            <wp:docPr descr="Per-dataset Spearman rho for best ADRank config, colored by true-AUC spread across detectors" title="" id="15" name="Picture"/>
            <a:graphic>
              <a:graphicData uri="http://schemas.openxmlformats.org/drawingml/2006/picture">
                <pic:pic>
                  <pic:nvPicPr>
                    <pic:cNvPr descr="figures/fig1_rho_by_dataset.png" id="16" name="Picture"/>
                    <pic:cNvPicPr>
                      <a:picLocks noChangeArrowheads="1" noChangeAspect="1"/>
                    </pic:cNvPicPr>
                  </pic:nvPicPr>
                  <pic:blipFill>
                    <a:blip r:embed="rId14"/>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p>
      <w:pPr>
        <w:pStyle w:val="BodyText"/>
        <w:jc w:val="both"/>
        <w:keepNext w:val="0"/>
        <w:keepLines w:val="0"/>
        <w:widowControl w:val="1"/>
      </w:pPr>
      <w:r>
        <w:t xml:space="preserve">On the 26 tabular ADBench datasets, five-seed ADRank picks a detector within</w:t>
      </w:r>
      <w:r>
        <w:t xml:space="preserve"> </w:t>
      </w:r>
      <w:r>
        <w:rPr>
          <w:b/>
          <w:bCs/>
        </w:rPr>
        <w:t xml:space="preserve">regret@1 = 0.021 ± 0.003</w:t>
      </w:r>
      <w:r>
        <w:t xml:space="preserve"> </w:t>
      </w:r>
      <w:r>
        <w:t xml:space="preserve">of the best in the panel: the chosen detector is on average 2.1 AUC points from optimal, versus 9.3 points for random selection, a</w:t>
      </w:r>
      <w:r>
        <w:t xml:space="preserve"> </w:t>
      </w:r>
      <w:r>
        <w:rPr>
          <w:b/>
          <w:bCs/>
        </w:rPr>
        <w:t xml:space="preserve">77% reduction</w:t>
      </w:r>
      <w: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ADRank</w:t>
            </w:r>
            <w:r>
              <w:rPr>
                <w:rFonts w:ascii="Georgia" w:hAnsi="Georgia"/>
                <w:sz w:val="19"/>
              </w:rPr>
              <w:t xml:space="preserve"> </w:t>
            </w:r>
            <w:r>
              <w:rPr>
                <w:rFonts w:ascii="Georgia" w:hAnsi="Georgia"/>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0.11</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drawing>
          <wp:inline>
            <wp:extent cx="5532504" cy="4610420"/>
            <wp:effectExtent b="0" l="0" r="0" t="0"/>
            <wp:docPr descr="Scatter of per-dataset rho against true-AUC spread across detectors" title="" id="18" name="Picture"/>
            <a:graphic>
              <a:graphicData uri="http://schemas.openxmlformats.org/drawingml/2006/picture">
                <pic:pic>
                  <pic:nvPicPr>
                    <pic:cNvPr descr="figures/fig2_rho_vs_spread.png" id="19" name="Picture"/>
                    <pic:cNvPicPr>
                      <a:picLocks noChangeArrowheads="1" noChangeAspect="1"/>
                    </pic:cNvPicPr>
                  </pic:nvPicPr>
                  <pic:blipFill>
                    <a:blip r:embed="rId17"/>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0"/>
    <w:bookmarkStart w:id="21" w:name="X30a4a63c492a87c2398f3a2432f667925edf7f6"/>
    <w:p>
      <w:pPr>
        <w:pStyle w:val="Heading3"/>
        <w:keepNext/>
        <w:keepLines/>
        <w:widowControl w:val="1"/>
      </w:pPr>
      <w:r>
        <w:t xml:space="preserve">5.2 Ablations</w:t>
      </w:r>
    </w:p>
    <w:p>
      <w:pPr>
        <w:pStyle w:val="FirstParagraph"/>
        <w:jc w:val="both"/>
        <w:keepNext w:val="0"/>
        <w:keepLines w:val="0"/>
        <w:widowControl w:val="1"/>
      </w:pPr>
      <w:r>
        <w:t xml:space="preserve">We ablate three axes: cluster-selection strategy (smallest clusters only, uniform random, composite "small + far from other centroids + low local density"), aggregation (mean, Borda, variance-weighted), and</w:t>
      </w:r>
      <w:r>
        <w:t xml:space="preserve"> </w:t>
      </w:r>
      <m:oMath>
        <m:r>
          <m:t>K</m:t>
        </m:r>
      </m:oMath>
      <w:r>
        <w:t xml:space="preserve"> </w:t>
      </w:r>
      <w: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0.608</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t xml:space="preserve">Two findings against our prior expectations:</w:t>
      </w:r>
    </w:p>
    <w:p>
      <w:pPr>
        <w:pStyle w:val="Compact"/>
        <w:numPr>
          <w:ilvl w:val="0"/>
          <w:numId w:val="1003"/>
        </w:numPr>
        <w:ind w:left="360" w:hanging="259"/>
        <w:jc w:val="both"/>
        <w:keepNext w:val="0"/>
        <w:keepLines w:val="0"/>
        <w:widowControl w:val="1"/>
      </w:pPr>
      <w:r>
        <w:rPr>
          <w:b/>
          <w:bCs/>
        </w:rPr>
        <w:t xml:space="preserve">The hand-designed cluster selector was the worst of the three.</w:t>
      </w:r>
      <w:r>
        <w:t xml:space="preserve"> </w:t>
      </w:r>
      <w: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rPr>
        <w:t xml:space="preserve">Aggregation barely matters.</w:t>
      </w:r>
      <w:r>
        <w:t xml:space="preserve"> </w:t>
      </w:r>
      <w:r>
        <w:t xml:space="preserve">Mean, Borda over per-subset ranks, and variance-weighted mean all fall within ±0.02 ρ. Ship the simplest option.</w:t>
      </w:r>
    </w:p>
    <w:bookmarkEnd w:id="21"/>
    <w:bookmarkStart w:id="22" w:name="Xf0c4c65c28d0278662cf0eaa9e0e9681fa1f1bb"/>
    <w:p>
      <w:pPr>
        <w:pStyle w:val="Heading3"/>
        <w:keepNext/>
        <w:keepLines/>
        <w:widowControl w:val="1"/>
      </w:pPr>
      <w:r>
        <w:t xml:space="preserve">5.3 Panel robustness</w:t>
      </w:r>
    </w:p>
    <w:p>
      <w:pPr>
        <w:pStyle w:val="FirstParagraph"/>
        <w:jc w:val="both"/>
        <w:keepNext w:val="0"/>
        <w:keepLines w:val="0"/>
        <w:widowControl w:val="1"/>
      </w:pPr>
      <w:r>
        <w:t xml:space="preserve">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+0.043</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t xml:space="preserve">The ranking is stable to detector-panel choice. Dropping the strongest single detector (IForest) is the largest cost and still leaves ρ = 0.557, above the consensus baseline by ~0.7. Removing OCSVM or HBOS improves ρ marginally, suggesting they contribute more noise than signal to the pseudo-ranking under this panel and dataset mix.</w:t>
      </w:r>
    </w:p>
    <w:bookmarkEnd w:id="22"/>
    <w:bookmarkStart w:id="26" w:name="X759390e083cb9fa8c62466deb5cc79df583d687"/>
    <w:p>
      <w:pPr>
        <w:pStyle w:val="Heading3"/>
        <w:keepNext/>
        <w:keepLines/>
        <w:widowControl w:val="1"/>
      </w:pPr>
      <w:r>
        <w:t xml:space="preserve">5.4 Per-dataset scatter</w:t>
      </w:r>
    </w:p>
    <w:p>
      <w:pPr>
        <w:pStyle w:val="BodyText"/>
        <w:jc w:val="center"/>
        <w:keepNext/>
        <w:keepLines/>
        <w:widowControl w:val="1"/>
      </w:pPr>
      <w:r>
        <w:drawing>
          <wp:inline>
            <wp:extent cx="3971108" cy="6949440"/>
            <wp:effectExtent b="0" l="0" r="0" t="0"/>
            <wp:docPr descr="Per-dataset scatter of ADRank-predicted rank against true rank" title="" id="24" name="Picture"/>
            <a:graphic>
              <a:graphicData uri="http://schemas.openxmlformats.org/drawingml/2006/picture">
                <pic:pic>
                  <pic:nvPicPr>
                    <pic:cNvPr descr="figures/fig3_scatter.png" id="25" name="Picture"/>
                    <pic:cNvPicPr>
                      <a:picLocks noChangeArrowheads="1" noChangeAspect="1"/>
                    </pic:cNvPicPr>
                  </pic:nvPicPr>
                  <pic:blipFill>
                    <a:blip r:embed="rId23"/>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6"/>
    <w:bookmarkStart w:id="27" w:name="Xdc5ad201ba5f93c5484ca547d33c394f116b13c"/>
    <w:p>
      <w:pPr>
        <w:pStyle w:val="Heading3"/>
        <w:keepNext/>
        <w:keepLines/>
        <w:widowControl w:val="1"/>
      </w:pPr>
      <w:r>
        <w:t xml:space="preserve">5.5 Cross-modality: images, text, time-series</w:t>
      </w:r>
    </w:p>
    <w:p>
      <w:pPr>
        <w:pStyle w:val="FirstParagraph"/>
        <w:jc w:val="both"/>
        <w:keepNext w:val="0"/>
        <w:keepLines w:val="0"/>
        <w:widowControl w:val="1"/>
      </w:pPr>
      <w: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rPr>
        <w:t xml:space="preserve">Image AD</w:t>
      </w:r>
      <w:r>
        <w:t xml:space="preserve"> </w:t>
      </w:r>
      <w:r>
        <w:t xml:space="preserve">(</w:t>
      </w:r>
      <w:r>
        <w:rPr>
          <w:rStyle w:val="VerbatimChar"/>
        </w:rPr>
        <w:t xml:space="preserve">CV</w:t>
      </w:r>
      <w:r>
        <w:t xml:space="preserve">). 20 datasets from ADBench's</w:t>
      </w:r>
      <w:r>
        <w:t xml:space="preserve"> </w:t>
      </w:r>
      <w:r>
        <w:rPr>
          <w:rStyle w:val="VerbatimChar"/>
        </w:rPr>
        <w:t xml:space="preserve">CV_by_ResNet18</w:t>
      </w:r>
      <w:r>
        <w:t xml:space="preserve"> </w:t>
      </w:r>
      <w: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rPr>
        <w:t xml:space="preserve">Text AD</w:t>
      </w:r>
      <w:r>
        <w:t xml:space="preserve"> </w:t>
      </w:r>
      <w:r>
        <w:t xml:space="preserve">(</w:t>
      </w:r>
      <w:r>
        <w:rPr>
          <w:rStyle w:val="VerbatimChar"/>
        </w:rPr>
        <w:t xml:space="preserve">NLP</w:t>
      </w:r>
      <w:r>
        <w:t xml:space="preserve">). 13 datasets from ADBench's</w:t>
      </w:r>
      <w:r>
        <w:t xml:space="preserve"> </w:t>
      </w:r>
      <w:r>
        <w:rPr>
          <w:rStyle w:val="VerbatimChar"/>
        </w:rPr>
        <w:t xml:space="preserve">NLP_by_BERT</w:t>
      </w:r>
      <w:r>
        <w:t xml:space="preserve"> </w:t>
      </w:r>
      <w: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rPr>
        <w:t xml:space="preserve">Time-series AD</w:t>
      </w:r>
      <w:r>
        <w:t xml:space="preserve"> </w:t>
      </w:r>
      <w:r>
        <w:t xml:space="preserve">(</w:t>
      </w:r>
      <w:r>
        <w:rPr>
          <w:rStyle w:val="VerbatimChar"/>
        </w:rPr>
        <w:t xml:space="preserve">TS</w:t>
      </w:r>
      <w: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Section 5.5 reports the effect of this representation choice.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0.065 ± 0.017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0.041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0.41 ± 0.17</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0.69 ± 0.04</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Cross-modality, mean over each modality's datasets and five seeds; ± is the seed standard deviation. Config is the ensemble default (smallest+random selection, K = 30) except NLP (smallest). "reduction" is the regret@1 cut versus random pick. Regret standard deviations are ≤ 0.017, so the rankings are stable; the thresholded Spearman column shows how much noisier that metric is (NLP ρ std = 0.17).</w:t>
      </w:r>
    </w:p>
    <w:p>
      <w:pPr>
        <w:pStyle w:val="BodyText"/>
        <w:jc w:val="both"/>
        <w:keepNext w:val="0"/>
        <w:keepLines w:val="0"/>
        <w:widowControl w:val="1"/>
      </w:pPr>
      <w:r>
        <w:t xml:space="preserve">ADRank cuts detector-selection regret versus random by</w:t>
      </w:r>
      <w:r>
        <w:t xml:space="preserve"> </w:t>
      </w:r>
      <w:r>
        <w:rPr>
          <w:b/>
          <w:bCs/>
        </w:rPr>
        <w:t xml:space="preserve">77% on tabular, 81% on images, and 90% on time-series</w:t>
      </w:r>
      <w:r>
        <w:t xml:space="preserve">. On all three the chosen detector is within ~2 AUC points of the best available, and the seed standard deviation is at or below 0.004, so the selection is stable. Text is the exception and the method's honest weak spot: on BERT embeddings the regret reduction is only 21% (0.065 vs 0.082), and the thresholded Spearman for text is both low and unstable (0.41 ± 0.17). The instability is diagnostic, not a property of the ranking itself: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t xml:space="preserve">Two further findings shape how the method must be configured off tabular data.</w:t>
      </w:r>
    </w:p>
    <w:p>
      <w:pPr>
        <w:pStyle w:val="BodyText"/>
        <w:jc w:val="both"/>
        <w:keepNext w:val="0"/>
        <w:keepLines w:val="0"/>
        <w:widowControl w:val="1"/>
      </w:pPr>
      <w:r>
        <w:rPr>
          <w:b/>
          <w:bCs/>
        </w:rPr>
        <w:t xml:space="preserve">Cluster-selection is modality-dependent, and the ensemble protects against getting it wrong.</w:t>
      </w:r>
      <w:r>
        <w:t xml:space="preserve"> </w:t>
      </w:r>
      <w:r>
        <w:t xml:space="preserve">On image embeddings (512-dim ResNet-18 features), the</w:t>
      </w:r>
      <w:r>
        <w:t xml:space="preserve"> </w:t>
      </w:r>
      <w:r>
        <w:rPr>
          <w:rStyle w:val="VerbatimChar"/>
        </w:rPr>
        <w:t xml:space="preserve">smallest</w:t>
      </w:r>
      <w:r>
        <w:t xml:space="preserve">-cluster selection that wins on tabular data</w:t>
      </w:r>
      <w:r>
        <w:t xml:space="preserve"> </w:t>
      </w:r>
      <w:r>
        <w:rPr>
          <w:i/>
          <w:iCs/>
        </w:rPr>
        <w:t xml:space="preserve">fails</w:t>
      </w:r>
      <w:r>
        <w:t xml:space="preserve">: in high dimensions, k-means' smallest clusters are near-degenerate curse-of-dimensionality artifacts rather than coherent pseudo-anomaly groups. Switching to</w:t>
      </w:r>
      <w:r>
        <w:t xml:space="preserve"> </w:t>
      </w:r>
      <w:r>
        <w:rPr>
          <w:rStyle w:val="VerbatimChar"/>
        </w:rPr>
        <w:t xml:space="preserve">random</w:t>
      </w:r>
      <w:r>
        <w:t xml:space="preserve"> </w:t>
      </w:r>
      <w:r>
        <w:t xml:space="preserve">cluster selection recovers strong performance, so the recommended default is the smallest+random ensemble, which works in both regimes without needing to know the winning strategy in advance. CIFAR10 class 1, for instance, moves from ρ = -0.32 under</w:t>
      </w:r>
      <w:r>
        <w:t xml:space="preserve"> </w:t>
      </w:r>
      <w:r>
        <w:rPr>
          <w:rStyle w:val="VerbatimChar"/>
        </w:rPr>
        <w:t xml:space="preserve">smallest</w:t>
      </w:r>
      <w:r>
        <w:t xml:space="preserve"> </w:t>
      </w:r>
      <w:r>
        <w:t xml:space="preserve">to ρ = 0.87 under the ensemble.</w:t>
      </w:r>
    </w:p>
    <w:p>
      <w:pPr>
        <w:pStyle w:val="BodyText"/>
        <w:jc w:val="both"/>
        <w:keepNext w:val="0"/>
        <w:keepLines w:val="0"/>
        <w:widowControl w:val="1"/>
      </w:pPr>
      <w:r>
        <w:rPr>
          <w:b/>
          <w:bCs/>
        </w:rPr>
        <w:t xml:space="preserve">Time-series needs an expressive window representation.</w:t>
      </w:r>
      <w:r>
        <w:t xml:space="preserve"> </w:t>
      </w:r>
      <w: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t xml:space="preserve">The takeaway: given any encoder that produces a fixed-length vector per input, ADRank selects a near-best detector on tabular, image, and time-series data; text with a single fixed regime is the exception, which the auto-calibration of Section 5.6 removes.</w:t>
      </w:r>
    </w:p>
    <w:bookmarkEnd w:id="27"/>
    <w:bookmarkStart w:id="31" w:name="X11626ad5eec0b328b32c07cfdf15ced90901455"/>
    <w:p>
      <w:pPr>
        <w:pStyle w:val="Heading3"/>
        <w:keepNext/>
        <w:keepLines/>
        <w:widowControl w:val="1"/>
      </w:pPr>
      <w:r>
        <w:t xml:space="preserve">5.6 Auto-calibrated ranking removes the text weak spot</w:t>
      </w:r>
    </w:p>
    <w:p>
      <w:pPr>
        <w:pStyle w:val="FirstParagraph"/>
        <w:jc w:val="both"/>
        <w:keepNext w:val="0"/>
        <w:keepLines w:val="0"/>
        <w:widowControl w:val="1"/>
      </w:pPr>
      <w:r>
        <w:t xml:space="preserve">Section 5.5 showed that a fixed pseudo-anomaly regime under-serves text: the true-best text detector is a local-density method (LOF wins on 10 of 13 datasets), but held-out compact clusters are separated as well by KNN, so ADRank's pick flips to KNN or CBLOF and forfeits LOF's advantage.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0.022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0.020</w:t>
            </w:r>
          </w:p>
        </w:tc>
      </w:tr>
    </w:tbl>
    <w:p>
      <w:pPr>
        <w:pStyle w:val="TableCaption"/>
        <w:spacing w:before="280" w:after="60" w:line="240" w:lineRule="auto"/>
        <w:jc w:val="center"/>
        <w:keepNext/>
        <w:keepLines/>
        <w:widowControl w:val="1"/>
      </w:pPr>
      <w:r>
        <w:rPr>
          <w:b/>
          <w:i/>
        </w:rPr>
        <w:t>Table 5.</w:t>
      </w:r>
      <w:r>
        <w:rPr>
          <w:b w:val="0"/>
          <w:i/>
        </w:rPr>
        <w:t xml:space="preserve"> </w:t>
      </w:r>
      <w:r>
        <w:rPr>
          <w:b w:val="0"/>
          <w:i/>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a few thousandths of the oracle on every modality.</w:t>
      </w:r>
    </w:p>
    <w:p>
      <w:pPr>
        <w:pStyle w:val="BodyText"/>
        <w:jc w:val="center"/>
        <w:keepNext/>
        <w:keepLines/>
        <w:widowControl w:val="1"/>
      </w:pPr>
      <w:r>
        <w:drawing>
          <wp:inline>
            <wp:extent cx="5943600" cy="3328416"/>
            <wp:effectExtent b="0" l="0" r="0" t="0"/>
            <wp:docPr descr="Bar chart of regret@1 for random pick, fixed-ensemble ADRank, and auto-calibrated ADRank across four modalities" title="" id="29" name="Picture"/>
            <a:graphic>
              <a:graphicData uri="http://schemas.openxmlformats.org/drawingml/2006/picture">
                <pic:pic>
                  <pic:nvPicPr>
                    <pic:cNvPr descr="figures/fig4_regret.png" id="30" name="Picture"/>
                    <pic:cNvPicPr>
                      <a:picLocks noChangeArrowheads="1" noChangeAspect="1"/>
                    </pic:cNvPicPr>
                  </pic:nvPicPr>
                  <pic:blipFill>
                    <a:blip r:embed="rId28"/>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0.065 to 0.006. Percentages are the reduction versus random pick.</w:t>
      </w:r>
    </w:p>
    <w:p>
      <w:pPr>
        <w:pStyle w:val="BodyText"/>
        <w:jc w:val="both"/>
        <w:keepNext w:val="0"/>
        <w:keepLines w:val="0"/>
        <w:widowControl w:val="1"/>
      </w:pPr>
      <w:r>
        <w:t xml:space="preserve">Auto-calibration cuts regret to 78–93% below random on all four modalities, and text improves tenfold (0.065 → 0.006), from barely beating random to near-oracle. Inspecting the learned weights confirms the mechanism: on 10 of 13 text datasets the top-weighted regime is</w:t>
      </w:r>
      <w:r>
        <w:t xml:space="preserve"> </w:t>
      </w:r>
      <w:r>
        <w:rPr>
          <w:i/>
          <w:iCs/>
        </w:rPr>
        <w:t xml:space="preserve">hard</w:t>
      </w:r>
      <w:r>
        <w:t xml:space="preserve">, the locally-embedded one that exercises local-density detection, and under calibration ADRank picks LOF on all 13 (versus KNN/CBLOF before). The weighting adapts rather than fixing on one regime: on two text datasets it up-weights</w:t>
      </w:r>
      <w:r>
        <w:t xml:space="preserve"> </w:t>
      </w:r>
      <w:r>
        <w:rPr>
          <w:i/>
          <w:iCs/>
        </w:rPr>
        <w:t xml:space="preserve">random</w:t>
      </w:r>
      <w:r>
        <w:t xml:space="preserve"> </w:t>
      </w:r>
      <w: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rPr>
        <w:t xml:space="preserve">Comparison to internal-metric baselines.</w:t>
      </w:r>
      <w:r>
        <w:t xml:space="preserve"> </w:t>
      </w:r>
      <w:r>
        <w:t xml:space="preserve">Table 5b sets ADRank against the canonical Excess-Mass and Mass-Volume internal metrics [1], on the same datasets and true rankings. ADRank has lower regret than both EM and MV on every modality. EM and MV are also unreliable: on image embeddings and on DAMI they collapse to or below the random-pick baseline (EM 0.078 vs random 0.073 on images; 0.074 vs 0.068 on DAMI), whereas ADRank stays well above random everywhere. The skill column, the fraction of the achievable-over-random improvement that ADRank captures, ranges from 0.88 on images to 0.24 on the hard DAMI benchmark.</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ADRank skill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0.068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0.24</w:t>
            </w:r>
          </w:p>
        </w:tc>
      </w:tr>
    </w:tbl>
    <w:p>
      <w:pPr>
        <w:pStyle w:val="BodyText"/>
        <w:spacing w:before="240"/>
        <w:jc w:val="both"/>
        <w:keepNext w:val="0"/>
        <w:keepLines w:val="0"/>
        <w:widowControl w:val="1"/>
      </w:pPr>
      <w:r>
        <w:rPr>
          <w:b/>
          <w:bCs/>
        </w:rPr>
        <w:t xml:space="preserve">Table 5b.</w:t>
      </w:r>
      <w:r>
        <w:t xml:space="preserve"> </w:t>
      </w:r>
      <w: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 1 − regret/random, the fraction of achievable improvement ADRank captures. ADRank is lowest on every row, and unlike EM/MV never falls to the random baseline.</w:t>
      </w:r>
    </w:p>
    <w:bookmarkEnd w:id="31"/>
    <w:bookmarkStart w:id="32" w:name="X260dc2f79dada0daf376fdbce8899adf0672e2f"/>
    <w:p>
      <w:pPr>
        <w:pStyle w:val="Heading3"/>
        <w:keepNext/>
        <w:keepLines/>
        <w:widowControl w:val="1"/>
      </w:pPr>
      <w:r>
        <w:t xml:space="preserve">5.7 A second benchmark, deep detectors, and a structural ceiling</w:t>
      </w:r>
    </w:p>
    <w:p>
      <w:pPr>
        <w:pStyle w:val="FirstParagraph"/>
        <w:jc w:val="both"/>
        <w:keepNext w:val="0"/>
        <w:keepLines w:val="0"/>
        <w:widowControl w:val="1"/>
      </w:pPr>
      <w:r>
        <w:rPr>
          <w:b/>
          <w:bCs/>
        </w:rPr>
        <w:t xml:space="preserve">Second benchmark (DAMI).</w:t>
      </w:r>
      <w:r>
        <w:t xml:space="preserve"> </w:t>
      </w:r>
      <w: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Reporting the top-3 handoff halves the weak spot with no method change: regret@3 = 0.020 ± 0.004.</w:t>
      </w:r>
    </w:p>
    <w:p>
      <w:pPr>
        <w:pStyle w:val="BodyText"/>
        <w:jc w:val="both"/>
        <w:keepNext w:val="0"/>
        <w:keepLines w:val="0"/>
        <w:widowControl w:val="1"/>
      </w:pPr>
      <w:r>
        <w:rPr>
          <w:b/>
          <w:bCs/>
        </w:rPr>
        <w:t xml:space="preserve">Deep detectors.</w:t>
      </w:r>
      <w:r>
        <w:t xml:space="preserve"> </w:t>
      </w:r>
      <w: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0.019</w:t>
            </w:r>
          </w:p>
        </w:tc>
      </w:tr>
    </w:tbl>
    <w:p>
      <w:pPr>
        <w:pStyle w:val="TableCaption"/>
        <w:spacing w:before="280" w:after="60" w:line="240" w:lineRule="auto"/>
        <w:jc w:val="center"/>
        <w:keepNext/>
        <w:keepLines/>
        <w:widowControl w:val="1"/>
      </w:pPr>
      <w:r>
        <w:rPr>
          <w:b/>
          <w:i/>
        </w:rPr>
        <w:t>Table 6.</w:t>
      </w:r>
      <w:r>
        <w:rPr>
          <w:b w:val="0"/>
          <w:i/>
        </w:rPr>
        <w:t xml:space="preserve"> </w:t>
      </w:r>
      <w:r>
        <w:rPr>
          <w:b w:val="0"/>
          <w:i/>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rPr>
        <w:t xml:space="preserve">A structural ceiling, and a fix that does not work.</w:t>
      </w:r>
      <w:r>
        <w:t xml:space="preserve"> </w:t>
      </w:r>
      <w:r>
        <w:t xml:space="preserve">The residual gap to the labels-based oracle (largest on DAMI, 0.040 vs 0.024) has a single cause: cluster-holdout pseudo-anomalies are</w:t>
      </w:r>
      <w:r>
        <w:t xml:space="preserve"> </w:t>
      </w:r>
      <w:r>
        <w:rPr>
          <w:i/>
          <w:iCs/>
        </w:rPr>
        <w:t xml:space="preserve">local</w:t>
      </w:r>
      <w:r>
        <w:t xml:space="preserve">. ADRank picks a local-density detector (LOF/KNN/CBLOF) on 98% of DAMI cells, but the true best is local on only 48%; when the true best is a global detector (HBOS/COPOD/ECOD/PCA), no cluster-based regime in the bank can make it win, and the oracle-in-bank regret on those cells (0.039) is 5× that on local-best cells (0.008).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 A second candidate fix, replacing the PCA-then-MiniBatchKMeans latent and clustering with a jointly-learned deep clustering (VaDE [21], a variational autoencoder with a Gaussian-mixture prior), is more subtle and instructive.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however, the balanced VaDE is not a robust replacement: it improves 6 of 9 datasets by small margins but collapses to two or three effective clusters on others and then makes a catastrophic pick (Wilt 0.000 to 0.193, Waveform 0.016 to 0.075), so its mean regret is worse than k-means (0.055 vs 0.034). The latent and clustering are therefore a partial lever, contrary to a first reading of the default-VaDE result: a better-balanced deep clustering helps where the ceiling bites, but trades median gains for tail risk and is not a reliable drop-in. Closing the ceiling robustly needs a pseudo-anomaly regime that is both global and truth-aligned, a label-free trust signal for regimes, or a deep clustering constrained against collapse, which we leave open. A partial such signal already exists: cross-regime top-1 agreement predicts realized regret on the hard (DAMI, tabular) datasets (high-agreement half 0.030 vs 0.049), giving a per-dataset confidence flag.</w:t>
      </w:r>
    </w:p>
    <w:bookmarkEnd w:id="32"/>
    <w:bookmarkEnd w:id="33"/>
    <w:bookmarkStart w:id="34" w:name="Xe60211b7362d4efd10cab3a88ad8ddec4cb4e70"/>
    <w:p>
      <w:pPr>
        <w:pStyle w:val="Heading2"/>
        <w:keepNext/>
        <w:keepLines/>
        <w:widowControl w:val="1"/>
      </w:pPr>
      <w:r>
        <w:t xml:space="preserve">6. Discussion</w:t>
      </w:r>
    </w:p>
    <w:p>
      <w:pPr>
        <w:pStyle w:val="FirstParagraph"/>
        <w:jc w:val="both"/>
        <w:keepNext w:val="0"/>
        <w:keepLines w:val="0"/>
        <w:widowControl w:val="1"/>
      </w:pPr>
      <w:r>
        <w:rPr>
          <w:b/>
          <w:bCs/>
        </w:rPr>
        <w:t xml:space="preserve">Why regret, and why the instability was in the metric.</w:t>
      </w:r>
      <w:r>
        <w:t xml:space="preserve"> </w:t>
      </w:r>
      <w: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0.017 everywhere, and the honest ordering of modalities (time-series and image best, tabular close, text weak)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rPr>
        <w:t xml:space="preserve">When ADRank helps.</w:t>
      </w:r>
      <w:r>
        <w:t xml:space="preserve"> </w:t>
      </w:r>
      <w:r>
        <w:t xml:space="preserve">With auto-calibration the method selects a near-best detector on all four modalities (regret@1 ≤ 0.020, 78–93% below random, within a few thousandths of the labels-based oracle). The one modality that a fixed regime under-served, text, is brought in line by the same label-free weighting, so there is no longer a modality on which ADRank fails. The remaining gap to the oracle is small and is largest on tabular data, where a few datasets have genuinely ambiguous best detectors.</w:t>
      </w:r>
    </w:p>
    <w:p>
      <w:pPr>
        <w:pStyle w:val="BodyText"/>
        <w:jc w:val="both"/>
        <w:keepNext w:val="0"/>
        <w:keepLines w:val="0"/>
        <w:widowControl w:val="1"/>
      </w:pPr>
      <w:r>
        <w:rPr>
          <w:b/>
          <w:bCs/>
        </w:rPr>
        <w:t xml:space="preserve">Why the discriminative weight works.</w:t>
      </w:r>
      <w:r>
        <w:t xml:space="preserve"> </w:t>
      </w:r>
      <w: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but across 69 datasets the high-variance regimes were the trustworthy ones.</w:t>
      </w:r>
    </w:p>
    <w:p>
      <w:pPr>
        <w:pStyle w:val="BodyText"/>
        <w:jc w:val="both"/>
        <w:keepNext w:val="0"/>
        <w:keepLines w:val="0"/>
        <w:widowControl w:val="1"/>
      </w:pPr>
      <w:r>
        <w:rPr>
          <w:b/>
          <w:bCs/>
        </w:rPr>
        <w:t xml:space="preserve">Why consensus fails but cluster-holdout works.</w:t>
      </w:r>
      <w:r>
        <w:t xml:space="preserve"> </w:t>
      </w:r>
      <w: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rPr>
        <w:t xml:space="preserve">Cost.</w:t>
      </w:r>
      <w:r>
        <w:t xml:space="preserve"> </w:t>
      </w:r>
      <w:r>
        <w:t xml:space="preserve">One ADRank pass over ten detectors, 20 cluster draws, and one dataset takes seconds to minutes on CPU. The whole 26-dataset tabular benchmark runs in ~35 minutes. There is no meta-training, no GPU dependency, and no external service.</w:t>
      </w:r>
    </w:p>
    <w:bookmarkEnd w:id="34"/>
    <w:bookmarkStart w:id="35" w:name="Xd6e2a28b540f60d683cac247f80283003c60b1c"/>
    <w:p>
      <w:pPr>
        <w:pStyle w:val="Heading2"/>
        <w:keepNext/>
        <w:keepLines/>
        <w:widowControl w:val="1"/>
      </w:pPr>
      <w:r>
        <w:t xml:space="preserve">7. Limitations</w:t>
      </w:r>
    </w:p>
    <w:p>
      <w:pPr>
        <w:pStyle w:val="FirstParagraph"/>
        <w:jc w:val="both"/>
        <w:keepNext w:val="0"/>
        <w:keepLines w:val="0"/>
        <w:widowControl w:val="1"/>
      </w:pPr>
      <w:r>
        <w:t xml:space="preserve">The pseudo-anomaly analogy is imperfect, and its principal limit is structural (Section 5.7): cluster-holdout regimes are local, so datasets whose best detector is global are under-served. Two candidate fixes were tested. Adding a global-tail regime fails because the label-free weighting over-trusts a high-variance misaligned regime. Replacing PCA-plus-k-means with a jointly-learned deep clustering (VaDE) is partly effective: once its reconstruction and clustering terms are balanced, it beats k-means on the ceiling datasets and on 6 of 9 DAMI datasets, so the latent and clustering are a real lever; but it collapses to too few clusters on some datasets and then makes a catastrophic pick, leaving its mean regret worse than k-means and disqualifying it as a robust drop-in (Section 5.7). The discriminative weight is an empirical proxy for regime trustworthiness, not a guarantee, and a global-yet-truth-aligned pseudo-anomaly regime, or a label-free trust signal for regimes, is the main open problem. The method requires an expressive fixed-length representation: on high-dimensional deep embeddings the</w:t>
      </w:r>
      <w:r>
        <w:t xml:space="preserve"> </w:t>
      </w:r>
      <w:r>
        <w:rPr>
          <w:rStyle w:val="VerbatimChar"/>
        </w:rPr>
        <w:t xml:space="preserve">smallest</w:t>
      </w:r>
      <w: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Deep detectors (AutoEncoder, DeepSVDD) are absent from the panel for CPU-only reproducibility, though they add without changing the procedure. Confidence intervals are derived from five seeds; regret standard deviations are already small (≤ 0.017), so more seeds would tighten them marginally without changing the ordering of modalities.</w:t>
      </w:r>
    </w:p>
    <w:bookmarkEnd w:id="35"/>
    <w:bookmarkStart w:id="36"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Clusters of the unlabeled training distribution behave, for the purpose of ranking anomaly detectors, close enough to real anomalies. Running a bank of pseudo-anomaly regimes and weighting each by how strongly it separates the detectors, a purely label-free signal, cuts detector-selection regret to 78–93% below random on tabular, image, text, and time-series data, within a few thousandths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reports its reliability honestly.</w:t>
      </w:r>
    </w:p>
    <w:bookmarkEnd w:id="36"/>
    <w:bookmarkStart w:id="5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Goix, N. (2016). How to Evaluate the Quality of Unsupervised Anomaly Detection Algorithms?</w:t>
      </w:r>
      <w:r>
        <w:t xml:space="preserve"> </w:t>
      </w:r>
      <w:r>
        <w:rPr>
          <w:i/>
          <w:iCs/>
        </w:rPr>
        <w:t xml:space="preserve">ICML Anomaly Detection Workshop</w:t>
      </w:r>
      <w:r>
        <w:t xml:space="preserve">.</w:t>
      </w:r>
      <w:r>
        <w:t xml:space="preserve"> </w:t>
      </w:r>
      <w:hyperlink r:id="rId37">
        <w:r>
          <w:rPr>
            <w:rStyle w:val="Hyperlink"/>
          </w:rPr>
          <w:t xml:space="preserve">arXiv:1607.01152</w:t>
        </w:r>
      </w:hyperlink>
      <w:r>
        <w:t xml:space="preserve">.</w:t>
      </w:r>
    </w:p>
    <w:p>
      <w:pPr>
        <w:pStyle w:val="ReferenceEntry"/>
        <w:spacing w:after="100"/>
        <w:ind w:left="475" w:hanging="475"/>
        <w:jc w:val="left"/>
        <w:keepNext w:val="0"/>
        <w:keepLines w:val="0"/>
        <w:widowControl w:val="1"/>
      </w:pPr>
      <w:r>
        <w:rPr>
          <w:rFonts w:ascii="Georgia" w:hAnsi="Georgia"/>
          <w:sz w:val="20"/>
        </w:rPr>
        <w:t xml:space="preserve">2. </w:t>
      </w:r>
      <w:r>
        <w:t xml:space="preserve">Marques, H. O., Campello, R. J. G. B., Zimek, A., Sander, J. (2015). On the Internal Evaluation of Unsupervised Outlier Detection.</w:t>
      </w:r>
      <w:r>
        <w:t xml:space="preserve"> </w:t>
      </w:r>
      <w:r>
        <w:rPr>
          <w:i/>
          <w:iCs/>
        </w:rPr>
        <w:t xml:space="preserve">SSDBM</w:t>
      </w:r>
      <w:r>
        <w:t xml:space="preserve">.</w:t>
      </w:r>
      <w:r>
        <w:t xml:space="preserve"> </w:t>
      </w:r>
      <w:hyperlink r:id="rId38">
        <w:r>
          <w:rPr>
            <w:rStyle w:val="Hyperlink"/>
          </w:rPr>
          <w:t xml:space="preserve">doi:10.1145/2791347.2791352</w:t>
        </w:r>
      </w:hyperlink>
      <w:r>
        <w:t xml:space="preserve">.</w:t>
      </w:r>
    </w:p>
    <w:p>
      <w:pPr>
        <w:pStyle w:val="ReferenceEntry"/>
        <w:spacing w:after="100"/>
        <w:ind w:left="475" w:hanging="475"/>
        <w:jc w:val="left"/>
        <w:keepNext w:val="0"/>
        <w:keepLines w:val="0"/>
        <w:widowControl w:val="1"/>
      </w:pPr>
      <w:r>
        <w:rPr>
          <w:rFonts w:ascii="Georgia" w:hAnsi="Georgia"/>
          <w:sz w:val="20"/>
        </w:rPr>
        <w:t xml:space="preserve">3. </w:t>
      </w:r>
      <w:r>
        <w:t xml:space="preserve">Zhao, Y., Rossi, R. A., Akoglu, L. (2021). Automatic Unsupervised Outlier Model Selection.</w:t>
      </w:r>
      <w:r>
        <w:t xml:space="preserve"> </w:t>
      </w:r>
      <w:r>
        <w:rPr>
          <w:i/>
          <w:iCs/>
        </w:rPr>
        <w:t xml:space="preserve">Advances in Neural Information Processing Systems 34 (NeurIPS)</w:t>
      </w:r>
      <w:r>
        <w:t xml:space="preserve">, pp. 4489-4502.</w:t>
      </w:r>
      <w:r>
        <w:t xml:space="preserve"> </w:t>
      </w:r>
      <w:hyperlink r:id="rId39">
        <w:r>
          <w:rPr>
            <w:rStyle w:val="Hyperlink"/>
          </w:rPr>
          <w:t xml:space="preserve">arXiv:2009.10606</w:t>
        </w:r>
      </w:hyperlink>
      <w:r>
        <w:t xml:space="preserve">.</w:t>
      </w:r>
      <w:r>
        <w:t xml:space="preserve"> </w:t>
      </w:r>
      <w:hyperlink r:id="rId40">
        <w:r>
          <w:rPr>
            <w:rStyle w:val="Hyperlink"/>
          </w:rPr>
          <w:t xml:space="preserve">proceedings.neurips.cc/paper/2021</w:t>
        </w:r>
      </w:hyperlink>
      <w:r>
        <w:t xml:space="preserve">.</w:t>
      </w:r>
    </w:p>
    <w:p>
      <w:pPr>
        <w:pStyle w:val="ReferenceEntry"/>
        <w:spacing w:after="100"/>
        <w:ind w:left="475" w:hanging="475"/>
        <w:jc w:val="left"/>
        <w:keepNext w:val="0"/>
        <w:keepLines w:val="0"/>
        <w:widowControl w:val="1"/>
      </w:pPr>
      <w:r>
        <w:rPr>
          <w:rFonts w:ascii="Georgia" w:hAnsi="Georgia"/>
          <w:sz w:val="20"/>
        </w:rPr>
        <w:t xml:space="preserve">4. </w:t>
      </w:r>
      <w:r>
        <w:t xml:space="preserve">Rayana, S., Akoglu, L. (2016). Less is More: Building Selective Anomaly Ensembles.</w:t>
      </w:r>
      <w:r>
        <w:t xml:space="preserve"> </w:t>
      </w:r>
      <w:r>
        <w:rPr>
          <w:i/>
          <w:iCs/>
        </w:rPr>
        <w:t xml:space="preserve">ACM TKDD</w:t>
      </w:r>
      <w:r>
        <w:t xml:space="preserve"> </w:t>
      </w:r>
      <w:r>
        <w:t xml:space="preserve">10(4).</w:t>
      </w:r>
      <w:r>
        <w:t xml:space="preserve"> </w:t>
      </w:r>
      <w:hyperlink r:id="rId41">
        <w:r>
          <w:rPr>
            <w:rStyle w:val="Hyperlink"/>
          </w:rPr>
          <w:t xml:space="preserve">doi:10.1145/2890508</w:t>
        </w:r>
      </w:hyperlink>
      <w:r>
        <w:t xml:space="preserve">.</w:t>
      </w:r>
    </w:p>
    <w:p>
      <w:pPr>
        <w:pStyle w:val="ReferenceEntry"/>
        <w:spacing w:after="100"/>
        <w:ind w:left="475" w:hanging="475"/>
        <w:jc w:val="left"/>
        <w:keepNext w:val="0"/>
        <w:keepLines w:val="0"/>
        <w:widowControl w:val="1"/>
      </w:pPr>
      <w:r>
        <w:rPr>
          <w:rFonts w:ascii="Georgia" w:hAnsi="Georgia"/>
          <w:sz w:val="20"/>
        </w:rPr>
        <w:t xml:space="preserve">5. </w:t>
      </w:r>
      <w:r>
        <w:t xml:space="preserve">Han, S., Hu, X., Huang, H., Jiang, M., Zhao, Y. (2022). ADBench: Anomaly Detection Benchmark.</w:t>
      </w:r>
      <w:r>
        <w:t xml:space="preserve"> </w:t>
      </w:r>
      <w:r>
        <w:rPr>
          <w:i/>
          <w:iCs/>
        </w:rPr>
        <w:t xml:space="preserve">NeurIPS Datasets and Benchmarks</w:t>
      </w:r>
      <w:r>
        <w:t xml:space="preserve">.</w:t>
      </w:r>
      <w:r>
        <w:t xml:space="preserve"> </w:t>
      </w:r>
      <w:hyperlink r:id="rId42">
        <w:r>
          <w:rPr>
            <w:rStyle w:val="Hyperlink"/>
          </w:rPr>
          <w:t xml:space="preserve">arXiv:2206.09426</w:t>
        </w:r>
      </w:hyperlink>
      <w:r>
        <w:t xml:space="preserve">.</w:t>
      </w:r>
    </w:p>
    <w:p>
      <w:pPr>
        <w:pStyle w:val="ReferenceEntry"/>
        <w:spacing w:after="100"/>
        <w:ind w:left="475" w:hanging="475"/>
        <w:jc w:val="left"/>
        <w:keepNext w:val="0"/>
        <w:keepLines w:val="0"/>
        <w:widowControl w:val="1"/>
      </w:pPr>
      <w:r>
        <w:rPr>
          <w:rFonts w:ascii="Georgia" w:hAnsi="Georgia"/>
          <w:sz w:val="20"/>
        </w:rPr>
        <w:t xml:space="preserve">6. </w:t>
      </w:r>
      <w:r>
        <w:t xml:space="preserve">Zhao, Y., Nasrullah, Z., Li, Z. (2019). PyOD: A Python Toolbox for Scalable Outlier Detection.</w:t>
      </w:r>
      <w:r>
        <w:t xml:space="preserve"> </w:t>
      </w:r>
      <w:r>
        <w:rPr>
          <w:i/>
          <w:iCs/>
        </w:rPr>
        <w:t xml:space="preserve">JMLR</w:t>
      </w:r>
      <w:r>
        <w:t xml:space="preserve"> </w:t>
      </w:r>
      <w:r>
        <w:t xml:space="preserve">20(96).</w:t>
      </w:r>
      <w:r>
        <w:t xml:space="preserve"> </w:t>
      </w:r>
      <w:hyperlink r:id="rId43">
        <w:r>
          <w:rPr>
            <w:rStyle w:val="Hyperlink"/>
          </w:rPr>
          <w:t xml:space="preserve">jmlr.org/papers/v20/19-011</w:t>
        </w:r>
      </w:hyperlink>
      <w:r>
        <w:t xml:space="preserve">.</w:t>
      </w:r>
    </w:p>
    <w:p>
      <w:pPr>
        <w:pStyle w:val="ReferenceEntry"/>
        <w:spacing w:after="100"/>
        <w:ind w:left="475" w:hanging="475"/>
        <w:jc w:val="left"/>
        <w:keepNext w:val="0"/>
        <w:keepLines w:val="0"/>
        <w:widowControl w:val="1"/>
      </w:pPr>
      <w:r>
        <w:rPr>
          <w:rFonts w:ascii="Georgia" w:hAnsi="Georgia"/>
          <w:sz w:val="20"/>
        </w:rPr>
        <w:t xml:space="preserve">7. </w:t>
      </w:r>
      <w:r>
        <w:t xml:space="preserve">Steinbuss, G., Böhm, K. (2021). Benchmarking Unsupervised Outlier Detection with Realistic Synthetic Data.</w:t>
      </w:r>
      <w:r>
        <w:t xml:space="preserve"> </w:t>
      </w:r>
      <w:r>
        <w:rPr>
          <w:i/>
          <w:iCs/>
        </w:rPr>
        <w:t xml:space="preserve">ACM Transactions on Knowledge Discovery from Data</w:t>
      </w:r>
      <w:r>
        <w:t xml:space="preserve"> </w:t>
      </w:r>
      <w:r>
        <w:t xml:space="preserve">15(4), Article 65.</w:t>
      </w:r>
      <w:r>
        <w:t xml:space="preserve"> </w:t>
      </w:r>
      <w:hyperlink r:id="rId44">
        <w:r>
          <w:rPr>
            <w:rStyle w:val="Hyperlink"/>
          </w:rPr>
          <w:t xml:space="preserve">doi:10.1145/3441453</w:t>
        </w:r>
      </w:hyperlink>
      <w:r>
        <w:t xml:space="preserve">.</w:t>
      </w:r>
    </w:p>
    <w:p>
      <w:pPr>
        <w:pStyle w:val="ReferenceEntry"/>
        <w:spacing w:after="100"/>
        <w:ind w:left="475" w:hanging="475"/>
        <w:jc w:val="left"/>
        <w:keepNext w:val="0"/>
        <w:keepLines w:val="0"/>
        <w:widowControl w:val="1"/>
      </w:pPr>
      <w:r>
        <w:rPr>
          <w:rFonts w:ascii="Georgia" w:hAnsi="Georgia"/>
          <w:sz w:val="20"/>
        </w:rPr>
        <w:t xml:space="preserve">8. </w:t>
      </w:r>
      <w:r>
        <w:t xml:space="preserve">Liu, F. T., Ting, K. M., Zhou, Z.-H. (2008). Isolation Forest.</w:t>
      </w:r>
      <w:r>
        <w:t xml:space="preserve"> </w:t>
      </w:r>
      <w:r>
        <w:rPr>
          <w:i/>
          <w:iCs/>
        </w:rPr>
        <w:t xml:space="preserve">IEEE International Conference on Data Mining (ICDM)</w:t>
      </w:r>
      <w:r>
        <w:t xml:space="preserve">, pp. 413-422.</w:t>
      </w:r>
      <w:r>
        <w:t xml:space="preserve"> </w:t>
      </w:r>
      <w:hyperlink r:id="rId45">
        <w:r>
          <w:rPr>
            <w:rStyle w:val="Hyperlink"/>
          </w:rPr>
          <w:t xml:space="preserve">doi:10.1109/ICDM.2008.17</w:t>
        </w:r>
      </w:hyperlink>
      <w:r>
        <w:t xml:space="preserve">.</w:t>
      </w:r>
    </w:p>
    <w:p>
      <w:pPr>
        <w:pStyle w:val="ReferenceEntry"/>
        <w:spacing w:after="100"/>
        <w:ind w:left="475" w:hanging="475"/>
        <w:jc w:val="left"/>
        <w:keepNext w:val="0"/>
        <w:keepLines w:val="0"/>
        <w:widowControl w:val="1"/>
      </w:pPr>
      <w:r>
        <w:rPr>
          <w:rFonts w:ascii="Georgia" w:hAnsi="Georgia"/>
          <w:sz w:val="20"/>
        </w:rPr>
        <w:t xml:space="preserve">9. </w:t>
      </w:r>
      <w:r>
        <w:t xml:space="preserve">Breunig, M. M., Kriegel, H.-P., Ng, R. T., Sander, J. (2000). LOF: Identifying Density-Based Local Outliers.</w:t>
      </w:r>
      <w:r>
        <w:t xml:space="preserve"> </w:t>
      </w:r>
      <w:r>
        <w:rPr>
          <w:i/>
          <w:iCs/>
        </w:rPr>
        <w:t xml:space="preserve">ACM SIGMOD International Conference on Management of Data</w:t>
      </w:r>
      <w:r>
        <w:t xml:space="preserve">, pp. 93-104.</w:t>
      </w:r>
      <w:r>
        <w:t xml:space="preserve"> </w:t>
      </w:r>
      <w:hyperlink r:id="rId46">
        <w:r>
          <w:rPr>
            <w:rStyle w:val="Hyperlink"/>
          </w:rPr>
          <w:t xml:space="preserve">doi:10.1145/342009.335388</w:t>
        </w:r>
      </w:hyperlink>
      <w:r>
        <w:t xml:space="preserve">.</w:t>
      </w:r>
    </w:p>
    <w:p>
      <w:pPr>
        <w:pStyle w:val="ReferenceEntry"/>
        <w:spacing w:after="100"/>
        <w:ind w:left="475" w:hanging="475"/>
        <w:jc w:val="left"/>
        <w:keepNext w:val="0"/>
        <w:keepLines w:val="0"/>
        <w:widowControl w:val="1"/>
      </w:pPr>
      <w:r>
        <w:rPr>
          <w:rFonts w:ascii="Georgia" w:hAnsi="Georgia"/>
          <w:sz w:val="20"/>
        </w:rPr>
        <w:t xml:space="preserve">10. </w:t>
      </w:r>
      <w:r>
        <w:t xml:space="preserve">Schölkopf, B., Platt, J. C., Shawe-Taylor, J., Smola, A. J., Williamson, R. C. (2001). Estimating the Support of a High-Dimensional Distribution.</w:t>
      </w:r>
      <w:r>
        <w:t xml:space="preserve"> </w:t>
      </w:r>
      <w:r>
        <w:rPr>
          <w:i/>
          <w:iCs/>
        </w:rPr>
        <w:t xml:space="preserve">Neural Computation</w:t>
      </w:r>
      <w:r>
        <w:t xml:space="preserve"> </w:t>
      </w:r>
      <w:r>
        <w:t xml:space="preserve">13(7), pp. 1443-1471.</w:t>
      </w:r>
      <w:r>
        <w:t xml:space="preserve"> </w:t>
      </w:r>
      <w:hyperlink r:id="rId47">
        <w:r>
          <w:rPr>
            <w:rStyle w:val="Hyperlink"/>
          </w:rPr>
          <w:t xml:space="preserve">doi:10.1162/089976601750264965</w:t>
        </w:r>
      </w:hyperlink>
      <w:r>
        <w:t xml:space="preserve">.</w:t>
      </w:r>
    </w:p>
    <w:p>
      <w:pPr>
        <w:pStyle w:val="ReferenceEntry"/>
        <w:spacing w:after="100"/>
        <w:ind w:left="475" w:hanging="475"/>
        <w:jc w:val="left"/>
        <w:keepNext w:val="0"/>
        <w:keepLines w:val="0"/>
        <w:widowControl w:val="1"/>
      </w:pPr>
      <w:r>
        <w:rPr>
          <w:rFonts w:ascii="Georgia" w:hAnsi="Georgia"/>
          <w:sz w:val="20"/>
        </w:rPr>
        <w:t xml:space="preserve">11. </w:t>
      </w:r>
      <w:r>
        <w:t xml:space="preserve">Li, Z., Zhao, Y., Botta, N., Ionescu, C., Hu, X. (2020). COPOD: Copula-Based Outlier Detection.</w:t>
      </w:r>
      <w:r>
        <w:t xml:space="preserve"> </w:t>
      </w:r>
      <w:r>
        <w:rPr>
          <w:i/>
          <w:iCs/>
        </w:rPr>
        <w:t xml:space="preserve">IEEE International Conference on Data Mining (ICDM)</w:t>
      </w:r>
      <w:r>
        <w:t xml:space="preserve">.</w:t>
      </w:r>
      <w:r>
        <w:t xml:space="preserve"> </w:t>
      </w:r>
      <w:hyperlink r:id="rId48">
        <w:r>
          <w:rPr>
            <w:rStyle w:val="Hyperlink"/>
          </w:rPr>
          <w:t xml:space="preserve">arXiv:2009.09463</w:t>
        </w:r>
      </w:hyperlink>
      <w:r>
        <w:t xml:space="preserve">.</w:t>
      </w:r>
    </w:p>
    <w:p>
      <w:pPr>
        <w:pStyle w:val="ReferenceEntry"/>
        <w:spacing w:after="100"/>
        <w:ind w:left="475" w:hanging="475"/>
        <w:jc w:val="left"/>
        <w:keepNext w:val="0"/>
        <w:keepLines w:val="0"/>
        <w:widowControl w:val="1"/>
      </w:pPr>
      <w:r>
        <w:rPr>
          <w:rFonts w:ascii="Georgia" w:hAnsi="Georgia"/>
          <w:sz w:val="20"/>
        </w:rPr>
        <w:t xml:space="preserve">12. </w:t>
      </w:r>
      <w:r>
        <w:t xml:space="preserve">Li, Z., Zhao, Y., Hu, X., Botta, N., Ionescu, C.,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hyperlink r:id="rId49">
        <w:r>
          <w:rPr>
            <w:rStyle w:val="Hyperlink"/>
          </w:rPr>
          <w:t xml:space="preserve">arXiv:2201.00382</w:t>
        </w:r>
      </w:hyperlink>
      <w:r>
        <w:t xml:space="preserve">.</w:t>
      </w:r>
    </w:p>
    <w:p>
      <w:pPr>
        <w:pStyle w:val="ReferenceEntry"/>
        <w:spacing w:after="100"/>
        <w:ind w:left="475" w:hanging="475"/>
        <w:jc w:val="left"/>
        <w:keepNext w:val="0"/>
        <w:keepLines w:val="0"/>
        <w:widowControl w:val="1"/>
      </w:pPr>
      <w:r>
        <w:rPr>
          <w:rFonts w:ascii="Georgia" w:hAnsi="Georgia"/>
          <w:sz w:val="20"/>
        </w:rPr>
        <w:t xml:space="preserve">13. </w:t>
      </w:r>
      <w:r>
        <w:t xml:space="preserve">Pevný, T. (2016). Loda: Lightweight On-line Detector of Anomalies.</w:t>
      </w:r>
      <w:r>
        <w:t xml:space="preserve"> </w:t>
      </w:r>
      <w:r>
        <w:rPr>
          <w:i/>
          <w:iCs/>
        </w:rPr>
        <w:t xml:space="preserve">Machine Learning</w:t>
      </w:r>
      <w:r>
        <w:t xml:space="preserve"> </w:t>
      </w:r>
      <w:r>
        <w:t xml:space="preserve">102(2), pp. 275-304.</w:t>
      </w:r>
      <w:r>
        <w:t xml:space="preserve"> </w:t>
      </w:r>
      <w:hyperlink r:id="rId50">
        <w:r>
          <w:rPr>
            <w:rStyle w:val="Hyperlink"/>
          </w:rPr>
          <w:t xml:space="preserve">doi:10.1007/s10994-015-5521-0</w:t>
        </w:r>
      </w:hyperlink>
      <w:r>
        <w:t xml:space="preserve">.</w:t>
      </w:r>
    </w:p>
    <w:p>
      <w:pPr>
        <w:pStyle w:val="ReferenceEntry"/>
        <w:spacing w:after="100"/>
        <w:ind w:left="475" w:hanging="475"/>
        <w:jc w:val="left"/>
        <w:keepNext w:val="0"/>
        <w:keepLines w:val="0"/>
        <w:widowControl w:val="1"/>
      </w:pPr>
      <w:r>
        <w:rPr>
          <w:rFonts w:ascii="Georgia" w:hAnsi="Georgia"/>
          <w:sz w:val="20"/>
        </w:rPr>
        <w:t xml:space="preserve">14. </w:t>
      </w:r>
      <w:r>
        <w:t xml:space="preserve">Ruff, L., Vandermeulen, R. A., Görnitz, N., Deecke, L., Siddiqui, S. A., Binder, A., Müller, E., Kloft, M. (2018). Deep One-Class Classification.</w:t>
      </w:r>
      <w:r>
        <w:t xml:space="preserve"> </w:t>
      </w:r>
      <w:r>
        <w:rPr>
          <w:i/>
          <w:iCs/>
        </w:rPr>
        <w:t xml:space="preserve">International Conference on Machine Learning (ICML)</w:t>
      </w:r>
      <w:r>
        <w:t xml:space="preserve">, PMLR 80, pp. 4393-4402.</w:t>
      </w:r>
      <w:r>
        <w:t xml:space="preserve"> </w:t>
      </w:r>
      <w:hyperlink r:id="rId51">
        <w:r>
          <w:rPr>
            <w:rStyle w:val="Hyperlink"/>
          </w:rPr>
          <w:t xml:space="preserve">proceedings.mlr.press/v80/ruff18a</w:t>
        </w:r>
      </w:hyperlink>
      <w:r>
        <w:t xml:space="preserve">.</w:t>
      </w:r>
    </w:p>
    <w:p>
      <w:pPr>
        <w:pStyle w:val="ReferenceEntry"/>
        <w:spacing w:after="100"/>
        <w:ind w:left="475" w:hanging="475"/>
        <w:jc w:val="left"/>
        <w:keepNext w:val="0"/>
        <w:keepLines w:val="0"/>
        <w:widowControl w:val="1"/>
      </w:pPr>
      <w:r>
        <w:rPr>
          <w:rFonts w:ascii="Georgia" w:hAnsi="Georgia"/>
          <w:sz w:val="20"/>
        </w:rPr>
        <w:t xml:space="preserve">15. </w:t>
      </w:r>
      <w:r>
        <w:t xml:space="preserve">Ruff, L., Kauffmann, J. R., Vandermeulen, R. A., Montavon, G., Samek, W., Kloft, M., Dietterich, T. G., Müller, K.-R. (2021). A Unifying Review of Deep and Shallow Anomaly Detection.</w:t>
      </w:r>
      <w:r>
        <w:t xml:space="preserve"> </w:t>
      </w:r>
      <w:r>
        <w:rPr>
          <w:i/>
          <w:iCs/>
        </w:rPr>
        <w:t xml:space="preserve">Proceedings of the IEEE</w:t>
      </w:r>
      <w:r>
        <w:t xml:space="preserve"> </w:t>
      </w:r>
      <w:r>
        <w:t xml:space="preserve">109(5).</w:t>
      </w:r>
      <w:r>
        <w:t xml:space="preserve"> </w:t>
      </w:r>
      <w:hyperlink r:id="rId52">
        <w:r>
          <w:rPr>
            <w:rStyle w:val="Hyperlink"/>
          </w:rPr>
          <w:t xml:space="preserve">arXiv:2009.11732</w:t>
        </w:r>
      </w:hyperlink>
      <w:r>
        <w:t xml:space="preserve">.</w:t>
      </w:r>
    </w:p>
    <w:p>
      <w:pPr>
        <w:pStyle w:val="ReferenceEntry"/>
        <w:spacing w:after="100"/>
        <w:ind w:left="475" w:hanging="475"/>
        <w:jc w:val="left"/>
        <w:keepNext w:val="0"/>
        <w:keepLines w:val="0"/>
        <w:widowControl w:val="1"/>
      </w:pPr>
      <w:r>
        <w:rPr>
          <w:rFonts w:ascii="Georgia" w:hAnsi="Georgia"/>
          <w:sz w:val="20"/>
        </w:rPr>
        <w:t xml:space="preserve">16. </w:t>
      </w:r>
      <w:r>
        <w:t xml:space="preserve">Campos, G. O., Zimek, A., Sander, J., Campello, R. J. G. B., Micenková, B., Schubert, E., Assent, I., Houle, M. E. (2016). On the Evaluation of Unsupervised Outlier Detection: Measures, Datasets, and an Empirical Study.</w:t>
      </w:r>
      <w:r>
        <w:t xml:space="preserve"> </w:t>
      </w:r>
      <w:r>
        <w:rPr>
          <w:i/>
          <w:iCs/>
        </w:rPr>
        <w:t xml:space="preserve">Data Mining and Knowledge Discovery</w:t>
      </w:r>
      <w:r>
        <w:t xml:space="preserve"> </w:t>
      </w:r>
      <w:r>
        <w:t xml:space="preserve">30(4), pp. 891-927.</w:t>
      </w:r>
      <w:r>
        <w:t xml:space="preserve"> </w:t>
      </w:r>
      <w:hyperlink r:id="rId53">
        <w:r>
          <w:rPr>
            <w:rStyle w:val="Hyperlink"/>
          </w:rPr>
          <w:t xml:space="preserve">doi:10.1007/s10618-015-0444-8</w:t>
        </w:r>
      </w:hyperlink>
      <w:r>
        <w:t xml:space="preserve">.</w:t>
      </w:r>
    </w:p>
    <w:p>
      <w:pPr>
        <w:pStyle w:val="ReferenceEntry"/>
        <w:spacing w:after="100"/>
        <w:ind w:left="475" w:hanging="475"/>
        <w:jc w:val="left"/>
        <w:keepNext w:val="0"/>
        <w:keepLines w:val="0"/>
        <w:widowControl w:val="1"/>
      </w:pPr>
      <w:r>
        <w:rPr>
          <w:rFonts w:ascii="Georgia" w:hAnsi="Georgia"/>
          <w:sz w:val="20"/>
        </w:rPr>
        <w:t xml:space="preserve">17. </w:t>
      </w:r>
      <w:r>
        <w:t xml:space="preserve">Ma, M. Q., Zhao, Y., Zhang, X., Akoglu, L. (2023). The Need for Unsupervised Outlier Model Selection: A Review and Evaluation of Internal Evaluation Strategies.</w:t>
      </w:r>
      <w:r>
        <w:t xml:space="preserve"> </w:t>
      </w:r>
      <w:r>
        <w:rPr>
          <w:i/>
          <w:iCs/>
        </w:rPr>
        <w:t xml:space="preserve">ACM SIGKDD Explorations</w:t>
      </w:r>
      <w:r>
        <w:t xml:space="preserve"> </w:t>
      </w:r>
      <w:r>
        <w:t xml:space="preserve">25(1).</w:t>
      </w:r>
      <w:r>
        <w:t xml:space="preserve"> </w:t>
      </w:r>
      <w:hyperlink r:id="rId54">
        <w:r>
          <w:rPr>
            <w:rStyle w:val="Hyperlink"/>
          </w:rPr>
          <w:t xml:space="preserve">doi:10.1145/3606274.3606277</w:t>
        </w:r>
      </w:hyperlink>
      <w:r>
        <w:t xml:space="preserve">.</w:t>
      </w:r>
    </w:p>
    <w:p>
      <w:pPr>
        <w:pStyle w:val="ReferenceEntry"/>
        <w:spacing w:after="100"/>
        <w:ind w:left="475" w:hanging="475"/>
        <w:jc w:val="left"/>
        <w:keepNext w:val="0"/>
        <w:keepLines w:val="0"/>
        <w:widowControl w:val="1"/>
      </w:pPr>
      <w:r>
        <w:rPr>
          <w:rFonts w:ascii="Georgia" w:hAnsi="Georgia"/>
          <w:sz w:val="20"/>
        </w:rPr>
        <w:t xml:space="preserve">18. </w:t>
      </w:r>
      <w:r>
        <w:t xml:space="preserve">Aggarwal, C. C., Sathe, S. (2015). Theoretical Foundations and Algorithms for Outlier Ensembles.</w:t>
      </w:r>
      <w:r>
        <w:t xml:space="preserve"> </w:t>
      </w:r>
      <w:r>
        <w:rPr>
          <w:i/>
          <w:iCs/>
        </w:rPr>
        <w:t xml:space="preserve">ACM SIGKDD Explorations</w:t>
      </w:r>
      <w:r>
        <w:t xml:space="preserve"> </w:t>
      </w:r>
      <w:r>
        <w:t xml:space="preserve">17(1), pp. 24-47.</w:t>
      </w:r>
      <w:r>
        <w:t xml:space="preserve"> </w:t>
      </w:r>
      <w:hyperlink r:id="rId55">
        <w:r>
          <w:rPr>
            <w:rStyle w:val="Hyperlink"/>
          </w:rPr>
          <w:t xml:space="preserve">doi:10.1145/2830544.2830549</w:t>
        </w:r>
      </w:hyperlink>
      <w:r>
        <w:t xml:space="preserve">.</w:t>
      </w:r>
    </w:p>
    <w:p>
      <w:pPr>
        <w:pStyle w:val="ReferenceEntry"/>
        <w:spacing w:after="100"/>
        <w:ind w:left="475" w:hanging="475"/>
        <w:jc w:val="left"/>
        <w:keepNext w:val="0"/>
        <w:keepLines w:val="0"/>
        <w:widowControl w:val="1"/>
      </w:pPr>
      <w:r>
        <w:rPr>
          <w:rFonts w:ascii="Georgia" w:hAnsi="Georgia"/>
          <w:sz w:val="20"/>
        </w:rPr>
        <w:t xml:space="preserve">19. </w:t>
      </w:r>
      <w:r>
        <w:t xml:space="preserve">Golan, I., El-Yaniv, R. (2018). Deep Anomaly Detection Using Geometric Transformations.</w:t>
      </w:r>
      <w:r>
        <w:t xml:space="preserve"> </w:t>
      </w:r>
      <w:r>
        <w:rPr>
          <w:i/>
          <w:iCs/>
        </w:rPr>
        <w:t xml:space="preserve">Advances in Neural Information Processing Systems 31 (NeurIPS)</w:t>
      </w:r>
      <w:r>
        <w:t xml:space="preserve">.</w:t>
      </w:r>
      <w:r>
        <w:t xml:space="preserve"> </w:t>
      </w:r>
      <w:hyperlink r:id="rId56">
        <w:r>
          <w:rPr>
            <w:rStyle w:val="Hyperlink"/>
          </w:rPr>
          <w:t xml:space="preserve">arXiv:1805.10917</w:t>
        </w:r>
      </w:hyperlink>
      <w:r>
        <w:t xml:space="preserve">.</w:t>
      </w:r>
    </w:p>
    <w:p>
      <w:pPr>
        <w:pStyle w:val="ReferenceEntry"/>
        <w:spacing w:after="100"/>
        <w:ind w:left="475" w:hanging="475"/>
        <w:jc w:val="left"/>
        <w:keepNext w:val="0"/>
        <w:keepLines w:val="0"/>
        <w:widowControl w:val="1"/>
      </w:pPr>
      <w:r>
        <w:rPr>
          <w:rFonts w:ascii="Georgia" w:hAnsi="Georgia"/>
          <w:sz w:val="20"/>
        </w:rPr>
        <w:t xml:space="preserve">20. </w:t>
      </w:r>
      <w:r>
        <w:t xml:space="preserve">Bergman, L., Hoshen, Y. (2020). Classification-Based Anomaly Detection for General Data.</w:t>
      </w:r>
      <w:r>
        <w:t xml:space="preserve"> </w:t>
      </w:r>
      <w:r>
        <w:rPr>
          <w:i/>
          <w:iCs/>
        </w:rPr>
        <w:t xml:space="preserve">International Conference on Learning Representations (ICLR)</w:t>
      </w:r>
      <w:r>
        <w:t xml:space="preserve">.</w:t>
      </w:r>
      <w:r>
        <w:t xml:space="preserve"> </w:t>
      </w:r>
      <w:hyperlink r:id="rId57">
        <w:r>
          <w:rPr>
            <w:rStyle w:val="Hyperlink"/>
          </w:rPr>
          <w:t xml:space="preserve">arXiv:2005.02359</w:t>
        </w:r>
      </w:hyperlink>
      <w:r>
        <w:t xml:space="preserve">.</w:t>
      </w:r>
    </w:p>
    <w:p>
      <w:pPr>
        <w:pStyle w:val="ReferenceEntry"/>
        <w:spacing w:after="100"/>
        <w:ind w:left="475" w:hanging="475"/>
        <w:jc w:val="left"/>
        <w:keepNext w:val="0"/>
        <w:keepLines w:val="0"/>
        <w:widowControl w:val="1"/>
      </w:pPr>
      <w:r>
        <w:rPr>
          <w:rFonts w:ascii="Georgia" w:hAnsi="Georgia"/>
          <w:sz w:val="20"/>
        </w:rPr>
        <w:t xml:space="preserve">21. </w:t>
      </w:r>
      <w:r>
        <w:t xml:space="preserve">Jiang, Z., Zheng, Y., Tan, H., Tang, B., Zhou, H. (2017). Variational Deep Embedding: An Unsupervised and Generative Approach to Clustering.</w:t>
      </w:r>
      <w:r>
        <w:t xml:space="preserve"> </w:t>
      </w:r>
      <w:r>
        <w:rPr>
          <w:i/>
          <w:iCs/>
        </w:rPr>
        <w:t xml:space="preserve">International Joint Conference on Artificial Intelligence (IJCAI)</w:t>
      </w:r>
      <w:r>
        <w:t xml:space="preserve">.</w:t>
      </w:r>
      <w:r>
        <w:t xml:space="preserve"> </w:t>
      </w:r>
      <w:hyperlink r:id="rId58">
        <w:r>
          <w:rPr>
            <w:rStyle w:val="Hyperlink"/>
          </w:rPr>
          <w:t xml:space="preserve">arXiv:1611.05148</w:t>
        </w:r>
      </w:hyperlink>
      <w:r>
        <w:t xml:space="preserve">.</w:t>
      </w:r>
    </w:p>
    <w:p>
      <w:pPr>
        <w:pStyle w:val="ReferenceEntry"/>
        <w:spacing w:after="100"/>
        <w:ind w:left="475" w:hanging="475"/>
        <w:jc w:val="left"/>
        <w:keepNext w:val="0"/>
        <w:keepLines w:val="0"/>
        <w:widowControl w:val="1"/>
      </w:pPr>
      <w:r>
        <w:rPr>
          <w:rFonts w:ascii="Georgia" w:hAnsi="Georgia"/>
          <w:sz w:val="20"/>
        </w:rPr>
        <w:t xml:space="preserve">22. </w:t>
      </w:r>
      <w:r>
        <w:t xml:space="preserve">ADRank v1 · Ranking Anomaly Detectors Without Anomalies via Cluster-Holdout Pseudo-Labels</w:t>
      </w:r>
    </w:p>
    <w:bookmarkEnd w:id="59"/>
    <w:bookmarkEnd w:id="6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3" Type="http://schemas.openxmlformats.org/officeDocument/2006/relationships/image" Target="media/rId23.png"/><Relationship Id="rId28" Type="http://schemas.openxmlformats.org/officeDocument/2006/relationships/image" Target="media/rId28.png"/><Relationship Id="rId37" Type="http://schemas.openxmlformats.org/officeDocument/2006/relationships/hyperlink" Target="https://arxiv.org/abs/1607.01152" TargetMode="External"/><Relationship Id="rId58" Type="http://schemas.openxmlformats.org/officeDocument/2006/relationships/hyperlink" Target="https://arxiv.org/abs/1611.05148" TargetMode="External"/><Relationship Id="rId56" Type="http://schemas.openxmlformats.org/officeDocument/2006/relationships/hyperlink" Target="https://arxiv.org/abs/1805.10917" TargetMode="External"/><Relationship Id="rId57" Type="http://schemas.openxmlformats.org/officeDocument/2006/relationships/hyperlink" Target="https://arxiv.org/abs/2005.02359" TargetMode="External"/><Relationship Id="rId48" Type="http://schemas.openxmlformats.org/officeDocument/2006/relationships/hyperlink" Target="https://arxiv.org/abs/2009.09463" TargetMode="External"/><Relationship Id="rId39" Type="http://schemas.openxmlformats.org/officeDocument/2006/relationships/hyperlink" Target="https://arxiv.org/abs/2009.10606" TargetMode="External"/><Relationship Id="rId52" Type="http://schemas.openxmlformats.org/officeDocument/2006/relationships/hyperlink" Target="https://arxiv.org/abs/2009.11732" TargetMode="External"/><Relationship Id="rId49" Type="http://schemas.openxmlformats.org/officeDocument/2006/relationships/hyperlink" Target="https://arxiv.org/abs/2201.00382" TargetMode="External"/><Relationship Id="rId42" Type="http://schemas.openxmlformats.org/officeDocument/2006/relationships/hyperlink" Target="https://arxiv.org/abs/2206.09426" TargetMode="External"/><Relationship Id="rId53" Type="http://schemas.openxmlformats.org/officeDocument/2006/relationships/hyperlink" Target="https://doi.org/10.1007/s10618-015-0444-8" TargetMode="External"/><Relationship Id="rId50" Type="http://schemas.openxmlformats.org/officeDocument/2006/relationships/hyperlink" Target="https://doi.org/10.1007/s10994-015-5521-0" TargetMode="External"/><Relationship Id="rId45" Type="http://schemas.openxmlformats.org/officeDocument/2006/relationships/hyperlink" Target="https://doi.org/10.1109/ICDM.2008.17" TargetMode="External"/><Relationship Id="rId38" Type="http://schemas.openxmlformats.org/officeDocument/2006/relationships/hyperlink" Target="https://doi.org/10.1145/2791347.2791352" TargetMode="External"/><Relationship Id="rId55" Type="http://schemas.openxmlformats.org/officeDocument/2006/relationships/hyperlink" Target="https://doi.org/10.1145/2830544.2830549" TargetMode="External"/><Relationship Id="rId41" Type="http://schemas.openxmlformats.org/officeDocument/2006/relationships/hyperlink" Target="https://doi.org/10.1145/2890508" TargetMode="External"/><Relationship Id="rId46" Type="http://schemas.openxmlformats.org/officeDocument/2006/relationships/hyperlink" Target="https://doi.org/10.1145/342009.335388" TargetMode="External"/><Relationship Id="rId44" Type="http://schemas.openxmlformats.org/officeDocument/2006/relationships/hyperlink" Target="https://doi.org/10.1145/3441453" TargetMode="External"/><Relationship Id="rId54" Type="http://schemas.openxmlformats.org/officeDocument/2006/relationships/hyperlink" Target="https://doi.org/10.1145/3606274.3606277" TargetMode="External"/><Relationship Id="rId47" Type="http://schemas.openxmlformats.org/officeDocument/2006/relationships/hyperlink" Target="https://doi.org/10.1162/089976601750264965" TargetMode="External"/><Relationship Id="rId43" Type="http://schemas.openxmlformats.org/officeDocument/2006/relationships/hyperlink" Target="https://jmlr.org/papers/v20/19-011.html" TargetMode="External"/><Relationship Id="rId51" Type="http://schemas.openxmlformats.org/officeDocument/2006/relationships/hyperlink" Target="https://proceedings.mlr.press/v80/ruff18a.html" TargetMode="External"/><Relationship Id="rId40"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arxiv.org/abs/1607.01152" TargetMode="External"/><Relationship Id="rId58" Type="http://schemas.openxmlformats.org/officeDocument/2006/relationships/hyperlink" Target="https://arxiv.org/abs/1611.05148" TargetMode="External"/><Relationship Id="rId56" Type="http://schemas.openxmlformats.org/officeDocument/2006/relationships/hyperlink" Target="https://arxiv.org/abs/1805.10917" TargetMode="External"/><Relationship Id="rId57" Type="http://schemas.openxmlformats.org/officeDocument/2006/relationships/hyperlink" Target="https://arxiv.org/abs/2005.02359" TargetMode="External"/><Relationship Id="rId48" Type="http://schemas.openxmlformats.org/officeDocument/2006/relationships/hyperlink" Target="https://arxiv.org/abs/2009.09463" TargetMode="External"/><Relationship Id="rId39" Type="http://schemas.openxmlformats.org/officeDocument/2006/relationships/hyperlink" Target="https://arxiv.org/abs/2009.10606" TargetMode="External"/><Relationship Id="rId52" Type="http://schemas.openxmlformats.org/officeDocument/2006/relationships/hyperlink" Target="https://arxiv.org/abs/2009.11732" TargetMode="External"/><Relationship Id="rId49" Type="http://schemas.openxmlformats.org/officeDocument/2006/relationships/hyperlink" Target="https://arxiv.org/abs/2201.00382" TargetMode="External"/><Relationship Id="rId42" Type="http://schemas.openxmlformats.org/officeDocument/2006/relationships/hyperlink" Target="https://arxiv.org/abs/2206.09426" TargetMode="External"/><Relationship Id="rId53" Type="http://schemas.openxmlformats.org/officeDocument/2006/relationships/hyperlink" Target="https://doi.org/10.1007/s10618-015-0444-8" TargetMode="External"/><Relationship Id="rId50" Type="http://schemas.openxmlformats.org/officeDocument/2006/relationships/hyperlink" Target="https://doi.org/10.1007/s10994-015-5521-0" TargetMode="External"/><Relationship Id="rId45" Type="http://schemas.openxmlformats.org/officeDocument/2006/relationships/hyperlink" Target="https://doi.org/10.1109/ICDM.2008.17" TargetMode="External"/><Relationship Id="rId38" Type="http://schemas.openxmlformats.org/officeDocument/2006/relationships/hyperlink" Target="https://doi.org/10.1145/2791347.2791352" TargetMode="External"/><Relationship Id="rId55" Type="http://schemas.openxmlformats.org/officeDocument/2006/relationships/hyperlink" Target="https://doi.org/10.1145/2830544.2830549" TargetMode="External"/><Relationship Id="rId41" Type="http://schemas.openxmlformats.org/officeDocument/2006/relationships/hyperlink" Target="https://doi.org/10.1145/2890508" TargetMode="External"/><Relationship Id="rId46" Type="http://schemas.openxmlformats.org/officeDocument/2006/relationships/hyperlink" Target="https://doi.org/10.1145/342009.335388" TargetMode="External"/><Relationship Id="rId44" Type="http://schemas.openxmlformats.org/officeDocument/2006/relationships/hyperlink" Target="https://doi.org/10.1145/3441453" TargetMode="External"/><Relationship Id="rId54" Type="http://schemas.openxmlformats.org/officeDocument/2006/relationships/hyperlink" Target="https://doi.org/10.1145/3606274.3606277" TargetMode="External"/><Relationship Id="rId47" Type="http://schemas.openxmlformats.org/officeDocument/2006/relationships/hyperlink" Target="https://doi.org/10.1162/089976601750264965" TargetMode="External"/><Relationship Id="rId43" Type="http://schemas.openxmlformats.org/officeDocument/2006/relationships/hyperlink" Target="https://jmlr.org/papers/v20/19-011.html" TargetMode="External"/><Relationship Id="rId51" Type="http://schemas.openxmlformats.org/officeDocument/2006/relationships/hyperlink" Target="https://proceedings.mlr.press/v80/ruff18a.html" TargetMode="External"/><Relationship Id="rId40"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2026-08-29T10:03:38Z</dcterms:created>
  <dcterms:modified xsi:type="dcterms:W3CDTF">2026-08-29T10:03:38Z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