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The ranking signal comes from the geometry of normal data alone: in a contamination study the selection regret is flat as real anomalies are added to the unlabeled input and is unchanged at 0% contamination (pure normal data), so ADRank needs no anomalies in its input to rank the detectors that find them.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An unsupervised auto-calibration removes the one weak spot a single fixed regime leaves on text: run a bank of pseudo-anomaly regimes and weight each by how strongly it separates the detectors, a purely label-free signal. Across four modalities and 69 anomaly-detection tasks drawn from a smaller number of source corpora, with five seeds, auto-calibrated ADRank cuts detector-selection regret relative to random selection by 78% on tabular ADBench data, 93% on ResNet-18 image embeddings, 93% on BERT text embeddings, and 90% on windowed time-series, matching within 0.01 of AUC, on these modalities,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label-free collapse guard makes a deep-clustering latent a reliable lever where the ceiling bites, while a full fix for global-best datasets remains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73–90% across all four modalities (tabular, image, text, time-series).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Skill is the per-dataset form of the reduction-versus-random percentages reported throughout.</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to 78–93% below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skill column, the per-dataset mean fraction of the achievable-over-random improvement that ADRank captures, ranges from 0.88 on images to 0.24 on the hard DAMI benchmark.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per-dataset mean of</w:t>
      </w:r>
      <w:r>
        <w:t xml:space="preserve"> </w:t>
      </w:r>
      <m:oMath>
        <m:r>
          <m:t>1</m:t>
        </m:r>
        <m:r>
          <m:rPr>
            <m:sty m:val="p"/>
          </m:rPr>
          <m:t>−</m:t>
        </m:r>
        <m:r>
          <m:rPr>
            <m:sty m:val="p"/>
          </m:rPr>
          <m:t>r</m:t>
        </m:r>
        <m:r>
          <m:rPr>
            <m:sty m:val="p"/>
          </m:rPr>
          <m:t>e</m:t>
        </m:r>
        <m:r>
          <m:rPr>
            <m:sty m:val="p"/>
          </m:rPr>
          <m:t>g</m:t>
        </m:r>
        <m:r>
          <m:rPr>
            <m:sty m:val="p"/>
          </m:rPr>
          <m:t>r</m:t>
        </m:r>
        <m:r>
          <m:rPr>
            <m:sty m:val="p"/>
          </m:rPr>
          <m:t>e</m:t>
        </m:r>
        <m:r>
          <m:rPr>
            <m:sty m:val="p"/>
          </m:rPr>
          <m:t>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(Section 4), the fraction of achievable improvement ADRank captures; it is a mean of per-dataset ratios and so differs from one minus the ratio of the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two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The collapse is label-free-detectable, however: VaDE resolves only two to three effective clusters (effK) precisely on the datasets it ruins (Wilt effK = 2.5, Waveform 2.8), while the datasets it helps sit at effK ≥ 3. Gating on this, using the deep clustering only when effK ≥ 3 and falling back to k-means otherwise, removes both catastrophes (Wilt 0.193 to 0.000, Waveform 0.075 to 0.016) and gives mean regret 0.030, below both k-means (0.034) and unguarded VaDE (0.055). A better-balanced deep clustering with this collapse guard is therefore a reliable lever: it helps where the ceiling bites, and its one failure mode is observable without labels. The remaining ceiling, datasets whose true-best detector is a global method, still needs a pseudo-anomaly regime that is both global and truth-aligned, or a label-free trust signal for regimes, which we leave open. A partial such signal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which is the honest ceiling of a selector when one detector happens to dominate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is bounded honestly: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Two candidate fixes were tested. Adding a global-tail regime fails because the label-free weighting over-trusts a high-variance misaligned regime. Replacing PCA-plus-k-means with a jointly-learned deep clustering (VaDE) is a real lever once guarded: balancing its reconstruction and clustering terms beats k-means on the ceiling datasets and on 6 of 9 DAMI datasets, and gating it on the label-free effective-cluster count, falling back to k-means when the clustering collapses, removes its catastrophic picks and yields the lowest mean regret of the three options (0.030 vs 0.034 for k-means, Section 5.7). The discriminative weight is an empirical proxy for regime trustworthiness, not a guarantee, and a global-yet-truth-aligned pseudo-anomaly regime,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2026-08-31T12:05:02Z</dcterms:created>
  <dcterms:modified xsi:type="dcterms:W3CDTF">2026-08-31T12:05:02Z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