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2"/>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student feedback is private and expensive to annotate, and we contribute a methodology that applies beyond it. We release a controlled corpus of 10,000 synthetic course reviews over a 20-aspect pedagogical schema, generated by sampling supervision targets separately from nuance attributes so the same aspect labels recur under varied course contexts and writing styles. We then introduce a faithfulness-aware pipeline: a cost-matched LLM audit scores how well each declared label is supported by the text, and that score both filters the training data and is itself cross-checked for reliability across independent judges.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which is the unbiased metric, faithfulness-aware row filtering lowers transferred sentiment error (paired 95% bootstrap CI excludes zero), a lowest-faithfulness control collapses it, and both effects replicate across two architectures and two real benchmarks (Herath and EduRABSA). Synthetic-only training recovers about 60% of a real-trained model with no real labels, and synthetic pre-training followed by real fine-tuning exceeds real-only training. The audit-filter-validate recipe is a general tool for quality-controlling LLM-supervised data; the corpus and code are released.</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and replication across two architectures and two real transfer targets,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80410"/>
            <wp:effectExtent b="0" l="0" r="0" t="0"/>
            <wp:docPr descr="Synthetic data generation pipeline" title="" id="15" name="Picture"/>
            <a:graphic>
              <a:graphicData uri="http://schemas.openxmlformats.org/drawingml/2006/picture">
                <pic:pic>
                  <pic:nvPicPr>
                    <pic:cNvPr descr="C:/Users/apart/AppData/Local/Temp/html2doc_svg_o3dBSs/svg_0.png" id="16" name="Picture"/>
                    <pic:cNvPicPr>
                      <a:picLocks noChangeArrowheads="1" noChangeAspect="1"/>
                    </pic:cNvPicPr>
                  </pic:nvPicPr>
                  <pic:blipFill>
                    <a:blip r:embed="rId14"/>
                    <a:stretch>
                      <a:fillRect/>
                    </a:stretch>
                  </pic:blipFill>
                  <pic:spPr bwMode="auto">
                    <a:xfrm>
                      <a:off x="0" y="0"/>
                      <a:ext cx="6400800" cy="328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Supervision targets and contextual attributes are sampled separately, merged through a stabilized prompt, and exported as review-level benchmark records.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3.</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5"/>
    <w:bookmarkEnd w:id="26"/>
    <w:bookmarkStart w:id="58"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Corpus-scale output-control statistics and the three-cycle realism-validation procedure are generator diagnostics reported in full in the appendix.</w:t>
      </w:r>
    </w:p>
    <w:p>
      <w:pPr>
        <w:pStyle w:val="BodyText"/>
        <w:jc w:val="center"/>
        <w:keepNext/>
        <w:keepLines/>
        <w:widowControl w:val="1"/>
      </w:pPr>
      <w:r>
        <w:drawing>
          <wp:inline>
            <wp:extent cx="2984601" cy="2145513"/>
            <wp:effectExtent b="0" l="0" r="0" t="0"/>
            <wp:docPr descr="Aspect sentiment heatmap" title="" id="28" name="Picture"/>
            <a:graphic>
              <a:graphicData uri="http://schemas.openxmlformats.org/drawingml/2006/picture">
                <pic:pic>
                  <pic:nvPicPr>
                    <pic:cNvPr descr="C:/Users/apart/AppData/Local/Temp/html2doc_svg_o3dBSs/svg_1.png" id="29" name="Picture"/>
                    <pic:cNvPicPr>
                      <a:picLocks noChangeArrowheads="1" noChangeAspect="1"/>
                    </pic:cNvPicPr>
                  </pic:nvPicPr>
                  <pic:blipFill>
                    <a:blip r:embed="rId27"/>
                    <a:stretch>
                      <a:fillRect/>
                    </a:stretch>
                  </pic:blipFill>
                  <pic:spPr bwMode="auto">
                    <a:xfrm>
                      <a:off x="0" y="0"/>
                      <a:ext cx="2984601" cy="21455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175347"/>
            <wp:effectExtent b="0" l="0" r="0" t="0"/>
            <wp:docPr descr="Corpus profile" title="" id="31" name="Picture"/>
            <a:graphic>
              <a:graphicData uri="http://schemas.openxmlformats.org/drawingml/2006/picture">
                <pic:pic>
                  <pic:nvPicPr>
                    <pic:cNvPr descr="C:/Users/apart/AppData/Local/Temp/html2doc_svg_o3dBSs/svg_2.png" id="32" name="Picture"/>
                    <pic:cNvPicPr>
                      <a:picLocks noChangeArrowheads="1" noChangeAspect="1"/>
                    </pic:cNvPicPr>
                  </pic:nvPicPr>
                  <pic:blipFill>
                    <a:blip r:embed="rId30"/>
                    <a:stretch>
                      <a:fillRect/>
                    </a:stretch>
                  </pic:blipFill>
                  <pic:spPr bwMode="auto">
                    <a:xfrm>
                      <a:off x="0" y="0"/>
                      <a:ext cx="6400800" cy="417534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33" w:name="X5eb33c01c0cf011bf7399e1ac1b2f733297275e"/>
    <w:p>
      <w:pPr>
        <w:pStyle w:val="Heading3"/>
        <w:keepNext/>
        <w:keepLines/>
        <w:widowControl w:val="1"/>
      </w:pPr>
      <w:r>
        <w:t xml:space="preserve">5.1 Corpus Profile and Representative Examples</w:t>
      </w:r>
    </w:p>
    <w:p>
      <w:pPr>
        <w:pStyle w:val="FirstParagraph"/>
        <w:jc w:val="both"/>
        <w:keepNext w:val="0"/>
        <w:keepLines w:val="0"/>
        <w:widowControl w:val="1"/>
      </w:pPr>
      <w:r>
        <w:t xml:space="preserve">Figure 2 and Figure 3 establish the corpus-level structure before any model results are introduced. Figure 2 shows how label support is distributed across aspects and sentiment polarities, which makes it easier to distinguish heavily represented pedagogical dimensions from thinner parts of the schema. Figure 3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3"/>
    <w:bookmarkStart w:id="34" w:name="scope-of-reported-analyses"/>
    <w:p>
      <w:pPr>
        <w:pStyle w:val="Heading3"/>
        <w:keepNext/>
        <w:keepLines/>
        <w:widowControl w:val="1"/>
      </w:pPr>
      <w:r>
        <w:t xml:space="preserve">5.2 Scope of Reported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34"/>
    <w:bookmarkStart w:id="38" w:name="Xb756ca2b27320c8b9bc4788dcc281a891af5b5f"/>
    <w:p>
      <w:pPr>
        <w:pStyle w:val="Heading3"/>
        <w:keepNext/>
        <w:keepLines/>
        <w:widowControl w:val="1"/>
      </w:pPr>
      <w:r>
        <w:t xml:space="preserve">5.3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7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5.9),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5.9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4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6400800" cy="2414383"/>
            <wp:effectExtent b="0" l="0" r="0" t="0"/>
            <wp:docPr descr="Benchmark comparison" title="" id="36" name="Picture"/>
            <a:graphic>
              <a:graphicData uri="http://schemas.openxmlformats.org/drawingml/2006/picture">
                <pic:pic>
                  <pic:nvPicPr>
                    <pic:cNvPr descr="C:/Users/apart/AppData/Local/Temp/html2doc_svg_o3dBSs/svg_3.png" id="37" name="Picture"/>
                    <pic:cNvPicPr>
                      <a:picLocks noChangeArrowheads="1" noChangeAspect="1"/>
                    </pic:cNvPicPr>
                  </pic:nvPicPr>
                  <pic:blipFill>
                    <a:blip r:embed="rId35"/>
                    <a:stretch>
                      <a:fillRect/>
                    </a:stretch>
                  </pic:blipFill>
                  <pic:spPr bwMode="auto">
                    <a:xfrm>
                      <a:off x="0" y="0"/>
                      <a:ext cx="6400800" cy="241438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8"/>
    <w:bookmarkStart w:id="39" w:name="gpt-based-inference-methods"/>
    <w:p>
      <w:pPr>
        <w:pStyle w:val="Heading3"/>
        <w:keepNext/>
        <w:keepLines/>
        <w:widowControl w:val="1"/>
      </w:pPr>
      <w:r>
        <w:t xml:space="preserve">5.4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8.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39"/>
    <w:bookmarkStart w:id="43" w:name="per-aspect-behavior-of-the-best-model"/>
    <w:p>
      <w:pPr>
        <w:pStyle w:val="Heading3"/>
        <w:keepNext/>
        <w:keepLines/>
        <w:widowControl w:val="1"/>
      </w:pPr>
      <w:r>
        <w:t xml:space="preserve">5.5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2984601" cy="2137106"/>
            <wp:effectExtent b="0" l="0" r="0" t="0"/>
            <wp:docPr descr="Best-model per-aspect benchmark" title="" id="41" name="Picture"/>
            <a:graphic>
              <a:graphicData uri="http://schemas.openxmlformats.org/drawingml/2006/picture">
                <pic:pic>
                  <pic:nvPicPr>
                    <pic:cNvPr descr="C:/Users/apart/AppData/Local/Temp/html2doc_svg_o3dBSs/svg_4.png" id="42" name="Picture"/>
                    <pic:cNvPicPr>
                      <a:picLocks noChangeArrowheads="1" noChangeAspect="1"/>
                    </pic:cNvPicPr>
                  </pic:nvPicPr>
                  <pic:blipFill>
                    <a:blip r:embed="rId40"/>
                    <a:stretch>
                      <a:fillRect/>
                    </a:stretch>
                  </pic:blipFill>
                  <pic:spPr bwMode="auto">
                    <a:xfrm>
                      <a:off x="0" y="0"/>
                      <a:ext cx="2984601" cy="213710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9.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3"/>
    <w:bookmarkStart w:id="50" w:name="X0ce3c8ca12618df96c03a79330ef5a35c7801ef"/>
    <w:p>
      <w:pPr>
        <w:pStyle w:val="Heading3"/>
        <w:keepNext/>
        <w:keepLines/>
        <w:widowControl w:val="1"/>
      </w:pPr>
      <w:r>
        <w:t xml:space="preserve">5.6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11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Exact synthetic-to-real transfer scores on the mapped Herath benchmark over the conservative nine-aspect overlap. The table gives the precise model values, while Figure 6 adds the overlap-support context needed to interpret them.</w:t>
      </w:r>
    </w:p>
    <w:tbl>
      <w:tblPr>
        <w:tblStyle w:val="Table"/>
        <w:tblW w:type="pct" w:w="5000"/>
        <w:jc w:val="center"/>
        <w:tblLook w:firstRow="1" w:lastRow="0" w:firstColumn="0" w:lastColumn="0" w:noHBand="0" w:noVBand="0" w:val="0020"/>
        <w:tblCaption w:val="Table 10. Exact synthetic-to-real transfer scores on the mapped Herath benchmark over the conservative nine-aspect overlap. The table gives the precise model values, while Figure 6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6400800" cy="2280570"/>
            <wp:effectExtent b="0" l="0" r="0" t="0"/>
            <wp:docPr descr="External validation on mapped real student feedback" title="" id="45" name="Picture"/>
            <a:graphic>
              <a:graphicData uri="http://schemas.openxmlformats.org/drawingml/2006/picture">
                <pic:pic>
                  <pic:nvPicPr>
                    <pic:cNvPr descr="C:/Users/apart/AppData/Local/Temp/html2doc_svg_o3dBSs/svg_5.png" id="46" name="Picture"/>
                    <pic:cNvPicPr>
                      <a:picLocks noChangeArrowheads="1" noChangeAspect="1"/>
                    </pic:cNvPicPr>
                  </pic:nvPicPr>
                  <pic:blipFill>
                    <a:blip r:embed="rId44"/>
                    <a:stretch>
                      <a:fillRect/>
                    </a:stretch>
                  </pic:blipFill>
                  <pic:spPr bwMode="auto">
                    <a:xfrm>
                      <a:off x="0" y="0"/>
                      <a:ext cx="6400800" cy="2280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10. The figure supports a partial-transfer claim only for the conservative 9-aspect overlap.</w:t>
      </w:r>
    </w:p>
    <w:p>
      <w:pPr>
        <w:pStyle w:val="BodyText"/>
        <w:jc w:val="center"/>
        <w:keepNext/>
        <w:keepLines/>
        <w:widowControl w:val="1"/>
      </w:pPr>
      <w:r>
        <w:drawing>
          <wp:inline>
            <wp:extent cx="6400800" cy="3455434"/>
            <wp:effectExtent b="0" l="0" r="0" t="0"/>
            <wp:docPr descr="Overlap-matched internal versus external comparison" title="" id="48" name="Picture"/>
            <a:graphic>
              <a:graphicData uri="http://schemas.openxmlformats.org/drawingml/2006/picture">
                <pic:pic>
                  <pic:nvPicPr>
                    <pic:cNvPr descr="C:/Users/apart/AppData/Local/Temp/html2doc_svg_o3dBSs/svg_6.png" id="49" name="Picture"/>
                    <pic:cNvPicPr>
                      <a:picLocks noChangeArrowheads="1" noChangeAspect="1"/>
                    </pic:cNvPicPr>
                  </pic:nvPicPr>
                  <pic:blipFill>
                    <a:blip r:embed="rId47"/>
                    <a:stretch>
                      <a:fillRect/>
                    </a:stretch>
                  </pic:blipFill>
                  <pic:spPr bwMode="auto">
                    <a:xfrm>
                      <a:off x="0" y="0"/>
                      <a:ext cx="6400800" cy="3455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40" w:after="60" w:line="240" w:lineRule="auto"/>
        <w:jc w:val="center"/>
        <w:keepNext/>
        <w:keepLines/>
        <w:widowControl w:val="1"/>
      </w:pPr>
      <w:r>
        <w:rPr>
          <w:b/>
          <w:i/>
        </w:rPr>
        <w:t>Table 11.</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11.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12.</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12.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12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0"/>
    <w:bookmarkStart w:id="51" w:name="corpus-scale-generation-diagnostics"/>
    <w:p>
      <w:pPr>
        <w:pStyle w:val="Heading3"/>
        <w:keepNext/>
        <w:keepLines/>
        <w:widowControl w:val="1"/>
      </w:pPr>
      <w:r>
        <w:t xml:space="preserve">5.7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procedure (Appendix A.13) are reported separately as generator diagnostics.</w:t>
      </w:r>
    </w:p>
    <w:bookmarkEnd w:id="51"/>
    <w:bookmarkStart w:id="52" w:name="model-assisted-label-faithfulness-audit"/>
    <w:p>
      <w:pPr>
        <w:pStyle w:val="Heading3"/>
        <w:keepNext/>
        <w:keepLines/>
        <w:widowControl w:val="1"/>
      </w:pPr>
      <w:r>
        <w:t xml:space="preserve">5.8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13.</w:t>
      </w:r>
      <w:r>
        <w:rPr>
          <w:b w:val="0"/>
          <w:i/>
        </w:rPr>
        <w:t xml:space="preserve"> </w:t>
      </w:r>
      <w:r>
        <w:rPr>
          <w:b w:val="0"/>
          <w:i/>
        </w:rPr>
        <w:t>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13.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2"/>
    <w:bookmarkStart w:id="56" w:name="Xec374fd6700b55291d88c543fc650e2ccca6775"/>
    <w:p>
      <w:pPr>
        <w:pStyle w:val="Heading3"/>
        <w:keepNext/>
        <w:keepLines/>
        <w:widowControl w:val="1"/>
      </w:pPr>
      <w:r>
        <w:t xml:space="preserve">5.9 Faithfulness-Aware Filtering of the Training Corpus</w:t>
      </w:r>
    </w:p>
    <w:p>
      <w:pPr>
        <w:pStyle w:val="FirstParagraph"/>
        <w:jc w:val="both"/>
        <w:keepNext w:val="0"/>
        <w:keepLines w:val="0"/>
        <w:widowControl w:val="1"/>
      </w:pPr>
      <w:r>
        <w:t xml:space="preserve">The 250-row audit in Section 5.8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5.3 recipe and evaluated each resulting model on two transfer targets: the same 9-aspect mapped Herath benchmark used in Section 5.6,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14.</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4.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15.</w:t>
      </w:r>
      <w:r>
        <w:rPr>
          <w:b w:val="0"/>
          <w:i/>
        </w:rPr>
        <w:t xml:space="preserve"> </w:t>
      </w:r>
      <w:r>
        <w:rPr>
          <w:b w:val="0"/>
          <w:i/>
        </w:rPr>
        <w:t>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5. Cross-architecture and cross-target replication of the Section 5.9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34954"/>
            <wp:effectExtent b="0" l="0" r="0" t="0"/>
            <wp:docPr descr="Faithfulness-aware filtering reduces sentiment-polarity error across two architectures and two transfer targets" title="" id="54" name="Picture"/>
            <a:graphic>
              <a:graphicData uri="http://schemas.openxmlformats.org/drawingml/2006/picture">
                <pic:pic>
                  <pic:nvPicPr>
                    <pic:cNvPr descr="C:/Users/apart/AppData/Local/Temp/html2doc_svg_o3dBSs/svg_7.png" id="55" name="Picture"/>
                    <pic:cNvPicPr>
                      <a:picLocks noChangeArrowheads="1" noChangeAspect="1"/>
                    </pic:cNvPicPr>
                  </pic:nvPicPr>
                  <pic:blipFill>
                    <a:blip r:embed="rId53"/>
                    <a:stretch>
                      <a:fillRect/>
                    </a:stretch>
                  </pic:blipFill>
                  <pic:spPr bwMode="auto">
                    <a:xfrm>
                      <a:off x="0" y="0"/>
                      <a:ext cx="2984601" cy="20349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5.8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human re-annotation of the audit is the natural next validation step.</w:t>
      </w:r>
    </w:p>
    <w:bookmarkEnd w:id="56"/>
    <w:bookmarkStart w:id="57" w:name="overall-interpretation"/>
    <w:p>
      <w:pPr>
        <w:pStyle w:val="Heading3"/>
        <w:keepNext/>
        <w:keepLines/>
        <w:widowControl w:val="1"/>
      </w:pPr>
      <w:r>
        <w:t xml:space="preserve">5.10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57"/>
    <w:bookmarkEnd w:id="58"/>
    <w:bookmarkStart w:id="62"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59"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and label-faithfulness analyses are conducted with LLM judges: realism improves prompt quality without establishing statistical indistinguishability from real reviews, and faithfulness is bounded by cross-provider judge agreement and by the behavioral negative control rather than by human labels, so human re-annotation of both is the natural next validation. Third, the 10K dataset is usable but not perfectly controlled, because a nontrivial share of rows reached the output-token cap and weakened length-band adherence at scale. Fourth, downstream training on the 10K corpus benefits from the Section 5.9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59"/>
    <w:bookmarkStart w:id="60"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5.9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0"/>
    <w:bookmarkStart w:id="61"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1"/>
    <w:bookmarkEnd w:id="62"/>
    <w:bookmarkStart w:id="63"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63"/>
    <w:bookmarkStart w:id="93" w:name="appendix"/>
    <w:p>
      <w:pPr>
        <w:pStyle w:val="Heading2"/>
        <w:keepNext/>
        <w:keepLines/>
        <w:widowControl w:val="1"/>
      </w:pPr>
      <w:r>
        <w:t xml:space="preserve">Appendix</w:t>
      </w:r>
    </w:p>
    <w:bookmarkStart w:id="64"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4"/>
    <w:bookmarkStart w:id="65"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5"/>
    <w:bookmarkStart w:id="66"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6"/>
    <w:bookmarkStart w:id="67"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6.</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6."/>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7"/>
    <w:bookmarkStart w:id="71"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2984601" cy="2212163"/>
            <wp:effectExtent b="0" l="0" r="0" t="0"/>
            <wp:docPr descr="Per-aspect F1 heatmap on the mapped real benchmark" title="" id="69" name="Picture"/>
            <a:graphic>
              <a:graphicData uri="http://schemas.openxmlformats.org/drawingml/2006/picture">
                <pic:pic>
                  <pic:nvPicPr>
                    <pic:cNvPr descr="C:/Users/apart/AppData/Local/Temp/html2doc_svg_o3dBSs/svg_8.png" id="70" name="Picture"/>
                    <pic:cNvPicPr>
                      <a:picLocks noChangeArrowheads="1" noChangeAspect="1"/>
                    </pic:cNvPicPr>
                  </pic:nvPicPr>
                  <pic:blipFill>
                    <a:blip r:embed="rId68"/>
                    <a:stretch>
                      <a:fillRect/>
                    </a:stretch>
                  </pic:blipFill>
                  <pic:spPr bwMode="auto">
                    <a:xfrm>
                      <a:off x="0" y="0"/>
                      <a:ext cx="2984601" cy="22121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1"/>
    <w:bookmarkStart w:id="72"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8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8.</w:t>
      </w:r>
    </w:p>
    <w:tbl>
      <w:tblPr>
        <w:tblStyle w:val="Table"/>
        <w:tblW w:type="pct" w:w="5000"/>
        <w:jc w:val="center"/>
        <w:tblLook w:firstRow="1" w:lastRow="0" w:firstColumn="0" w:lastColumn="0" w:noHBand="0" w:noVBand="0" w:val="0020"/>
        <w:tblCaption w:val="Table A5. Configuration details for the GPT-based inference methods reported in Tabl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2"/>
    <w:bookmarkStart w:id="76"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6400800" cy="4146172"/>
            <wp:effectExtent b="0" l="0" r="0" t="0"/>
            <wp:docPr descr="Aspect count distribution in the pilot validation subset" title="" id="74" name="Picture"/>
            <a:graphic>
              <a:graphicData uri="http://schemas.openxmlformats.org/drawingml/2006/picture">
                <pic:pic>
                  <pic:nvPicPr>
                    <pic:cNvPr descr="C:/Users/apart/AppData/Local/Temp/html2doc_svg_o3dBSs/svg_9.png" id="75" name="Picture"/>
                    <pic:cNvPicPr>
                      <a:picLocks noChangeArrowheads="1" noChangeAspect="1"/>
                    </pic:cNvPicPr>
                  </pic:nvPicPr>
                  <pic:blipFill>
                    <a:blip r:embed="rId73"/>
                    <a:stretch>
                      <a:fillRect/>
                    </a:stretch>
                  </pic:blipFill>
                  <pic:spPr bwMode="auto">
                    <a:xfrm>
                      <a:off x="0" y="0"/>
                      <a:ext cx="6400800" cy="41461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6"/>
    <w:bookmarkStart w:id="77"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7"/>
    <w:bookmarkStart w:id="84"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5.3. They show how the two-step and joint formulations compare directly, how stable the strongest local models are across three seeds, and how a modest training-budget change affects BERT and DistilBERT.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6400800" cy="3380814"/>
            <wp:effectExtent b="0" l="0" r="0" t="0"/>
            <wp:docPr descr="Seed stability across the strongest local models" title="" id="79" name="Picture"/>
            <a:graphic>
              <a:graphicData uri="http://schemas.openxmlformats.org/drawingml/2006/picture">
                <pic:pic>
                  <pic:nvPicPr>
                    <pic:cNvPr descr="C:/Users/apart/AppData/Local/Temp/html2doc_svg_o3dBSs/svg_10.png" id="80" name="Picture"/>
                    <pic:cNvPicPr>
                      <a:picLocks noChangeArrowheads="1" noChangeAspect="1"/>
                    </pic:cNvPicPr>
                  </pic:nvPicPr>
                  <pic:blipFill>
                    <a:blip r:embed="rId78"/>
                    <a:stretch>
                      <a:fillRect/>
                    </a:stretch>
                  </pic:blipFill>
                  <pic:spPr bwMode="auto">
                    <a:xfrm>
                      <a:off x="0" y="0"/>
                      <a:ext cx="6400800" cy="3380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4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6400800" cy="3020767"/>
            <wp:effectExtent b="0" l="0" r="0" t="0"/>
            <wp:docPr descr="Training-budget tuning comparison for BERT and DistilBERT" title="" id="82" name="Picture"/>
            <a:graphic>
              <a:graphicData uri="http://schemas.openxmlformats.org/drawingml/2006/picture">
                <pic:pic>
                  <pic:nvPicPr>
                    <pic:cNvPr descr="C:/Users/apart/AppData/Local/Temp/html2doc_svg_o3dBSs/svg_11.png" id="83" name="Picture"/>
                    <pic:cNvPicPr>
                      <a:picLocks noChangeArrowheads="1" noChangeAspect="1"/>
                    </pic:cNvPicPr>
                  </pic:nvPicPr>
                  <pic:blipFill>
                    <a:blip r:embed="rId81"/>
                    <a:stretch>
                      <a:fillRect/>
                    </a:stretch>
                  </pic:blipFill>
                  <pic:spPr bwMode="auto">
                    <a:xfrm>
                      <a:off x="0" y="0"/>
                      <a:ext cx="6400800" cy="30207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4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4"/>
    <w:bookmarkStart w:id="85"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5"/>
    <w:bookmarkStart w:id="89"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864489"/>
            <wp:effectExtent b="0" l="0" r="0" t="0"/>
            <wp:docPr descr="Realism improvement curve" title="" id="87" name="Picture"/>
            <a:graphic>
              <a:graphicData uri="http://schemas.openxmlformats.org/drawingml/2006/picture">
                <pic:pic>
                  <pic:nvPicPr>
                    <pic:cNvPr descr="C:/Users/apart/AppData/Local/Temp/html2doc_svg_o3dBSs/svg_12.png" id="88" name="Picture"/>
                    <pic:cNvPicPr>
                      <a:picLocks noChangeArrowheads="1" noChangeAspect="1"/>
                    </pic:cNvPicPr>
                  </pic:nvPicPr>
                  <pic:blipFill>
                    <a:blip r:embed="rId86"/>
                    <a:stretch>
                      <a:fillRect/>
                    </a:stretch>
                  </pic:blipFill>
                  <pic:spPr bwMode="auto">
                    <a:xfrm>
                      <a:off x="0" y="0"/>
                      <a:ext cx="6400800" cy="18644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9"/>
    <w:bookmarkStart w:id="90"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5.8: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90"/>
    <w:bookmarkStart w:id="91"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91"/>
    <w:bookmarkStart w:id="92"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3 makes this visible directly by combining length, aspect-count, course, and style evidence in one place.</w:t>
      </w:r>
    </w:p>
    <w:bookmarkEnd w:id="92"/>
    <w:bookmarkEnd w:id="93"/>
    <w:bookmarkStart w:id="125"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4">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5">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6">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7">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8">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99">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0">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1">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2">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3">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4">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5">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6">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7">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8">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09">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0">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1">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2">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3">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4">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5">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6">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7">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8">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19">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0">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1">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2">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3">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4">
        <w:r>
          <w:rPr>
            <w:rStyle w:val="Hyperlink"/>
          </w:rPr>
          <w:t xml:space="preserve">Sentiment Analysis in the Era of Large Language Models: A Reality Check</w:t>
        </w:r>
      </w:hyperlink>
      <w:r>
        <w:t xml:space="preserve">. Findings of NAACL 2024, pages 3892-3910.</w:t>
      </w:r>
    </w:p>
    <w:bookmarkEnd w:id="125"/>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78" Type="http://schemas.openxmlformats.org/officeDocument/2006/relationships/image" Target="media/rId78.png"/><Relationship Id="rId81" Type="http://schemas.openxmlformats.org/officeDocument/2006/relationships/image" Target="media/rId81.png"/><Relationship Id="rId86" Type="http://schemas.openxmlformats.org/officeDocument/2006/relationships/image" Target="media/rId86.png"/><Relationship Id="rId30" Type="http://schemas.openxmlformats.org/officeDocument/2006/relationships/image" Target="media/rId30.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7" Type="http://schemas.openxmlformats.org/officeDocument/2006/relationships/image" Target="media/rId47.png"/><Relationship Id="rId53" Type="http://schemas.openxmlformats.org/officeDocument/2006/relationships/image" Target="media/rId53.png"/><Relationship Id="rId68" Type="http://schemas.openxmlformats.org/officeDocument/2006/relationships/image" Target="media/rId68.png"/><Relationship Id="rId73" Type="http://schemas.openxmlformats.org/officeDocument/2006/relationships/image" Target="media/rId73.png"/><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8" Type="http://schemas.openxmlformats.org/officeDocument/2006/relationships/hyperlink" Target="https://aclanthology.org/2021.acl-long.188/" TargetMode="External"/><Relationship Id="rId107" Type="http://schemas.openxmlformats.org/officeDocument/2006/relationships/hyperlink" Target="https://aclanthology.org/2021.eacl-main.20/" TargetMode="External"/><Relationship Id="rId109" Type="http://schemas.openxmlformats.org/officeDocument/2006/relationships/hyperlink" Target="https://aclanthology.org/2021.emnlp-main.361/" TargetMode="External"/><Relationship Id="rId106" Type="http://schemas.openxmlformats.org/officeDocument/2006/relationships/hyperlink" Target="https://aclanthology.org/2021.emnlp-main.362/" TargetMode="External"/><Relationship Id="rId119" Type="http://schemas.openxmlformats.org/officeDocument/2006/relationships/hyperlink" Target="https://aclanthology.org/2021.findings-acl.84/" TargetMode="External"/><Relationship Id="rId104" Type="http://schemas.openxmlformats.org/officeDocument/2006/relationships/hyperlink" Target="https://aclanthology.org/2022.lrec-1.219/" TargetMode="External"/><Relationship Id="rId121" Type="http://schemas.openxmlformats.org/officeDocument/2006/relationships/hyperlink" Target="https://aclanthology.org/2023.acl-long.754/" TargetMode="External"/><Relationship Id="rId99" Type="http://schemas.openxmlformats.org/officeDocument/2006/relationships/hyperlink" Target="https://aclanthology.org/2023.emnlp-main.647/" TargetMode="External"/><Relationship Id="rId98" Type="http://schemas.openxmlformats.org/officeDocument/2006/relationships/hyperlink" Target="https://aclanthology.org/2023.findings-acl.612/" TargetMode="External"/><Relationship Id="rId122" Type="http://schemas.openxmlformats.org/officeDocument/2006/relationships/hyperlink" Target="https://aclanthology.org/2023.wassa-1.3/" TargetMode="External"/><Relationship Id="rId123" Type="http://schemas.openxmlformats.org/officeDocument/2006/relationships/hyperlink" Target="https://aclanthology.org/2024.eacl-long.167/" TargetMode="External"/><Relationship Id="rId124" Type="http://schemas.openxmlformats.org/officeDocument/2006/relationships/hyperlink" Target="https://aclanthology.org/2024.findings-naacl.246/" TargetMode="External"/><Relationship Id="rId113" Type="http://schemas.openxmlformats.org/officeDocument/2006/relationships/hyperlink" Target="https://aclanthology.org/2024.lrec-main.879/" TargetMode="External"/><Relationship Id="rId100" Type="http://schemas.openxmlformats.org/officeDocument/2006/relationships/hyperlink" Target="https://aclanthology.org/C16-1233/" TargetMode="External"/><Relationship Id="rId101" Type="http://schemas.openxmlformats.org/officeDocument/2006/relationships/hyperlink" Target="https://aclanthology.org/L18-1425/" TargetMode="External"/><Relationship Id="rId97" Type="http://schemas.openxmlformats.org/officeDocument/2006/relationships/hyperlink" Target="https://aclanthology.org/N19-1423/" TargetMode="External"/><Relationship Id="rId95" Type="http://schemas.openxmlformats.org/officeDocument/2006/relationships/hyperlink" Target="https://aclanthology.org/S14-2004/" TargetMode="External"/><Relationship Id="rId96" Type="http://schemas.openxmlformats.org/officeDocument/2006/relationships/hyperlink" Target="https://aclanthology.org/S16-1002/" TargetMode="External"/><Relationship Id="rId105" Type="http://schemas.openxmlformats.org/officeDocument/2006/relationships/hyperlink" Target="https://arxiv.org/abs/2508.17008" TargetMode="External"/><Relationship Id="rId118" Type="http://schemas.openxmlformats.org/officeDocument/2006/relationships/hyperlink" Target="https://doi.org/10.1016/j.compedu.2020.103965" TargetMode="External"/><Relationship Id="rId111" Type="http://schemas.openxmlformats.org/officeDocument/2006/relationships/hyperlink" Target="https://doi.org/10.1016/j.nlp.2022.100003" TargetMode="External"/><Relationship Id="rId110" Type="http://schemas.openxmlformats.org/officeDocument/2006/relationships/hyperlink" Target="https://doi.org/10.1016/j.stueduc.2021.100979" TargetMode="External"/><Relationship Id="rId112" Type="http://schemas.openxmlformats.org/officeDocument/2006/relationships/hyperlink" Target="https://doi.org/10.1016/j.stueduc.2024.101406" TargetMode="External"/><Relationship Id="rId115" Type="http://schemas.openxmlformats.org/officeDocument/2006/relationships/hyperlink" Target="https://doi.org/10.1080/02602938.2018.1463354" TargetMode="External"/><Relationship Id="rId116" Type="http://schemas.openxmlformats.org/officeDocument/2006/relationships/hyperlink" Target="https://doi.org/10.1080/07294360.2019.1657807" TargetMode="External"/><Relationship Id="rId102" Type="http://schemas.openxmlformats.org/officeDocument/2006/relationships/hyperlink" Target="https://doi.org/10.1108/EL-06-2019-0140" TargetMode="External"/><Relationship Id="rId103" Type="http://schemas.openxmlformats.org/officeDocument/2006/relationships/hyperlink" Target="https://doi.org/10.1109/ACCESS.2022.3177752" TargetMode="External"/><Relationship Id="rId117" Type="http://schemas.openxmlformats.org/officeDocument/2006/relationships/hyperlink" Target="https://doi.org/10.1186/s41039-018-0073-0" TargetMode="External"/><Relationship Id="rId114" Type="http://schemas.openxmlformats.org/officeDocument/2006/relationships/hyperlink" Target="https://doi.org/10.3102/003465430298487" TargetMode="External"/><Relationship Id="rId120" Type="http://schemas.openxmlformats.org/officeDocument/2006/relationships/hyperlink" Target="https://proceedings.neurips.cc/paper_files/paper/2022/hash/0346c148ba1c21c6b4780a961ea141dc-Abstract-Conference.html" TargetMode="External"/><Relationship Id="rId94"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2026-06-12T20:40:15Z</dcterms:created>
  <dcterms:modified xsi:type="dcterms:W3CDTF">2026-06-12T20:40:15Z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