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replicates on a distilled smaller architecture, and on a second public educational ABSA benchmark (EduRABSA) the bottom-25% control bucket lifts sentiment MSE by 0.42 (paired 95% bootstrap CI across eight seeds excludes zero in every condition). The study therefore contributes a synthetic educational ABSA corpus, a documented generation procedure, a reproducible benchmark setting for a domain in which public labeled data remain difficult to obtain, and a faithfulness-aware filtering recipe whose validity is established across two architectures and two transfer benchmarks.</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3"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8G2ejg/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Supervision targets and contextual attributes are sampled separately, merged through a stabilized prompt, and exported as review-level benchmark records.</w:t>
      </w:r>
    </w:p>
    <w:bookmarkEnd w:id="17"/>
    <w:bookmarkStart w:id="18"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The evaluation side of the study uses a single shared contract. Every reported approach begins from the same review-level corpus and the same 8,000/1,000/1,000 split, so differences in outcome come from the modeling approach rather than from incompatible data conditions: one corpus, one split, one validation stage, and one held-out reporting stage. Validation is reserved for calibration and model choice, while mapped real-data transfer and generator-validation analyses are treated as complementary checks rather than replacements for the main synthetic benchmark.</w:t>
      </w:r>
    </w:p>
    <w:bookmarkEnd w:id="18"/>
    <w:bookmarkStart w:id="19"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19"/>
    <w:bookmarkStart w:id="20"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0"/>
    <w:bookmarkStart w:id="21"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1"/>
    <w:bookmarkStart w:id="22"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2"/>
    <w:bookmarkEnd w:id="23"/>
    <w:bookmarkStart w:id="26" w:name="benchmark-task-and-evaluation-setup"/>
    <w:p>
      <w:pPr>
        <w:pStyle w:val="Heading2"/>
        <w:keepNext/>
        <w:keepLines/>
        <w:widowControl w:val="1"/>
      </w:pPr>
      <w:r>
        <w:t xml:space="preserve">4. Benchmark Task and Evaluation Setup</w:t>
      </w:r>
    </w:p>
    <w:bookmarkStart w:id="24"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4"/>
    <w:bookmarkStart w:id="25"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4.</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5"/>
    <w:bookmarkEnd w:id="26"/>
    <w:bookmarkStart w:id="32" w:name="generator-validation-analyses"/>
    <w:p>
      <w:pPr>
        <w:pStyle w:val="Heading2"/>
        <w:keepNext/>
        <w:keepLines/>
        <w:widowControl w:val="1"/>
      </w:pPr>
      <w:r>
        <w:t xml:space="preserve">5. Generator Validation Analyses</w:t>
      </w:r>
    </w:p>
    <w:bookmarkStart w:id="30"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28" name="Picture"/>
            <a:graphic>
              <a:graphicData uri="http://schemas.openxmlformats.org/drawingml/2006/picture">
                <pic:pic>
                  <pic:nvPicPr>
                    <pic:cNvPr descr="C:/Users/apart/AppData/Local/Temp/html2doc_svg_8G2ejg/svg_1.png" id="29" name="Picture"/>
                    <pic:cNvPicPr>
                      <a:picLocks noChangeArrowheads="1" noChangeAspect="1"/>
                    </pic:cNvPicPr>
                  </pic:nvPicPr>
                  <pic:blipFill>
                    <a:blip r:embed="rId27"/>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30"/>
    <w:bookmarkStart w:id="31" w:name="complementary-generator-diagnostics"/>
    <w:p>
      <w:pPr>
        <w:pStyle w:val="Heading3"/>
        <w:keepNext/>
        <w:keepLines/>
        <w:widowControl w:val="1"/>
      </w:pPr>
      <w:r>
        <w:t xml:space="preserve">5.2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1"/>
    <w:bookmarkEnd w:id="32"/>
    <w:bookmarkStart w:id="66"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5943600" cy="4272623"/>
            <wp:effectExtent b="0" l="0" r="0" t="0"/>
            <wp:docPr descr="Aspect sentiment heatmap" title="" id="34" name="Picture"/>
            <a:graphic>
              <a:graphicData uri="http://schemas.openxmlformats.org/drawingml/2006/picture">
                <pic:pic>
                  <pic:nvPicPr>
                    <pic:cNvPr descr="C:/Users/apart/AppData/Local/Temp/html2doc_svg_8G2ejg/svg_2.png" id="35" name="Picture"/>
                    <pic:cNvPicPr>
                      <a:picLocks noChangeArrowheads="1" noChangeAspect="1"/>
                    </pic:cNvPicPr>
                  </pic:nvPicPr>
                  <pic:blipFill>
                    <a:blip r:embed="rId33"/>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37" name="Picture"/>
            <a:graphic>
              <a:graphicData uri="http://schemas.openxmlformats.org/drawingml/2006/picture">
                <pic:pic>
                  <pic:nvPicPr>
                    <pic:cNvPr descr="C:/Users/apart/AppData/Local/Temp/html2doc_svg_8G2ejg/svg_3.png" id="38" name="Picture"/>
                    <pic:cNvPicPr>
                      <a:picLocks noChangeArrowheads="1" noChangeAspect="1"/>
                    </pic:cNvPicPr>
                  </pic:nvPicPr>
                  <pic:blipFill>
                    <a:blip r:embed="rId36"/>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39"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3 and Figure 4 establish the corpus-level structure before any model results are introduced. Figure 3 shows how label support is distributed across aspects and sentiment polarities, which makes it easier to distinguish heavily represented pedagogical dimensions from thinner parts of the schema. Figure 4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39"/>
    <w:bookmarkStart w:id="40" w:name="scope-of-reported-analyses"/>
    <w:p>
      <w:pPr>
        <w:pStyle w:val="Heading3"/>
        <w:keepNext/>
        <w:keepLines/>
        <w:widowControl w:val="1"/>
      </w:pPr>
      <w:r>
        <w:t xml:space="preserve">6.2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0"/>
    <w:bookmarkStart w:id="44"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5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42" name="Picture"/>
            <a:graphic>
              <a:graphicData uri="http://schemas.openxmlformats.org/drawingml/2006/picture">
                <pic:pic>
                  <pic:nvPicPr>
                    <pic:cNvPr descr="C:/Users/apart/AppData/Local/Temp/html2doc_svg_8G2ejg/svg_4.png" id="43" name="Picture"/>
                    <pic:cNvPicPr>
                      <a:picLocks noChangeArrowheads="1" noChangeAspect="1"/>
                    </pic:cNvPicPr>
                  </pic:nvPicPr>
                  <pic:blipFill>
                    <a:blip r:embed="rId41"/>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44"/>
    <w:bookmarkStart w:id="45"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5"/>
    <w:bookmarkStart w:id="49"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47" name="Picture"/>
            <a:graphic>
              <a:graphicData uri="http://schemas.openxmlformats.org/drawingml/2006/picture">
                <pic:pic>
                  <pic:nvPicPr>
                    <pic:cNvPr descr="C:/Users/apart/AppData/Local/Temp/html2doc_svg_8G2ejg/svg_5.png" id="48" name="Picture"/>
                    <pic:cNvPicPr>
                      <a:picLocks noChangeArrowheads="1" noChangeAspect="1"/>
                    </pic:cNvPicPr>
                  </pic:nvPicPr>
                  <pic:blipFill>
                    <a:blip r:embed="rId46"/>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49"/>
    <w:bookmarkStart w:id="56"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7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7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51" name="Picture"/>
            <a:graphic>
              <a:graphicData uri="http://schemas.openxmlformats.org/drawingml/2006/picture">
                <pic:pic>
                  <pic:nvPicPr>
                    <pic:cNvPr descr="C:/Users/apart/AppData/Local/Temp/html2doc_svg_8G2ejg/svg_6.png" id="52" name="Picture"/>
                    <pic:cNvPicPr>
                      <a:picLocks noChangeArrowheads="1" noChangeAspect="1"/>
                    </pic:cNvPicPr>
                  </pic:nvPicPr>
                  <pic:blipFill>
                    <a:blip r:embed="rId50"/>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54" name="Picture"/>
            <a:graphic>
              <a:graphicData uri="http://schemas.openxmlformats.org/drawingml/2006/picture">
                <pic:pic>
                  <pic:nvPicPr>
                    <pic:cNvPr descr="C:/Users/apart/AppData/Local/Temp/html2doc_svg_8G2ejg/svg_7.png" id="55" name="Picture"/>
                    <pic:cNvPicPr>
                      <a:picLocks noChangeArrowheads="1" noChangeAspect="1"/>
                    </pic:cNvPicPr>
                  </pic:nvPicPr>
                  <pic:blipFill>
                    <a:blip r:embed="rId53"/>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6"/>
    <w:bookmarkStart w:id="57"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57"/>
    <w:bookmarkStart w:id="58"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4 makes this visible directly by combining length, aspect-count, course, and style evidence in one place.</w:t>
      </w:r>
    </w:p>
    <w:bookmarkEnd w:id="58"/>
    <w:bookmarkStart w:id="59"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59"/>
    <w:bookmarkStart w:id="60"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9.</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bookmarkEnd w:id="60"/>
    <w:bookmarkStart w:id="64" w:name="Xd7172303a2a7df33ecbf786e84e1f7cb8de8754"/>
    <w:p>
      <w:pPr>
        <w:pStyle w:val="Heading3"/>
        <w:keepNext/>
        <w:keepLines/>
        <w:widowControl w:val="1"/>
      </w:pPr>
      <w:r>
        <w:t xml:space="preserve">6.7D Faithfulness-Aware Filtering of the Training Corpus</w:t>
      </w:r>
    </w:p>
    <w:p>
      <w:pPr>
        <w:pStyle w:val="FirstParagraph"/>
        <w:jc w:val="both"/>
        <w:keepNext w:val="0"/>
        <w:keepLines w:val="0"/>
        <w:widowControl w:val="1"/>
      </w:pPr>
      <w:r>
        <w:t xml:space="preserve">The 250-row audit in Section 6.7B reports a corpus-level aspect-sentiment match rate of 0.42 as a generator diagnostic. To turn that diagnostic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and DistilBERT-base-uncased on each bucket using the calibrated Section 6.3 recipe and evaluated each resulting model on two transfer targets: the same 9-aspect mapped Herath benchmark used in Section 6.6, and the EduRABSA 7-aspect mapping of the Hua et al. educational-review corpus (5,651 English course-and-staff reviews from RateMyProfessor, Waterloo, and Exeter). To separate effect from seed variance, every (bucket, architecture, target) configuration was retrained at eight random seeds (17, 23, 41, 42, 53, 89, 101, 137)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eight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eight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0.389 [0.372, 0.408]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0.566 [0.558,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0.356 [0.331, 0.385]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0.584 [0.571, 0.598]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0.351 [0.329, 0.376]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0.580 [0.565, 0.595]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0.710 [0.654, 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0.522 [0.516, 0.530]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0.411 [0.386, 0.434]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 [0.577, 0.592]</w:t>
            </w:r>
          </w:p>
        </w:tc>
      </w:tr>
    </w:tbl>
    <w:p>
      <w:pPr>
        <w:pStyle w:val="BodyText"/>
        <w:spacing w:before="240"/>
        <w:jc w:val="both"/>
        <w:keepNext w:val="0"/>
        <w:keepLines w:val="0"/>
        <w:widowControl w:val="1"/>
      </w:pPr>
      <w:r>
        <w:t xml:space="preserve">Two findings carry the experiment, stated as paired bucket-versus-baseline differences whose 95% bootstrap CI over eight seeds excludes zero. First, at fixed training size, filtering reduces sentiment-polarity error on aspects the detector identified as present: the</w:t>
      </w:r>
      <w:r>
        <w:t xml:space="preserve"> </w:t>
      </w:r>
      <w:r>
        <w:rPr>
          <w:rStyle w:val="VerbatimChar"/>
        </w:rPr>
        <w:t xml:space="preserve">top50</w:t>
      </w:r>
      <w:r>
        <w:t xml:space="preserve"> </w:t>
      </w:r>
      <w:r>
        <w:t xml:space="preserve">subset cuts sentiment MSE by 0.054 relative to the size-matched random sample (</w:t>
      </w:r>
      <w:r>
        <w:rPr>
          <w:rStyle w:val="VerbatimChar"/>
        </w:rPr>
        <w:t xml:space="preserve">top50 − random_5k</w:t>
      </w:r>
      <w:r>
        <w:t xml:space="preserve"> </w:t>
      </w:r>
      <w:r>
        <w:t xml:space="preserve">mean</w:t>
      </w:r>
      <w:r>
        <w:t xml:space="preserve"> </w:t>
      </w:r>
      <w:r>
        <w:rPr>
          <w:rStyle w:val="VerbatimChar"/>
        </w:rPr>
        <w:t xml:space="preserve">−0.054</w:t>
      </w:r>
      <w:r>
        <w:t xml:space="preserve">, 95% bootstrap CI</w:t>
      </w:r>
      <w:r>
        <w:t xml:space="preserve"> </w:t>
      </w:r>
      <w:r>
        <w:rPr>
          <w:rStyle w:val="VerbatimChar"/>
        </w:rPr>
        <w:t xml:space="preserve">[−0.090, −0.020]</w:t>
      </w:r>
      <w:r>
        <w:t xml:space="preserve">,</w:t>
      </w:r>
      <w:r>
        <w:t xml:space="preserve"> </w:t>
      </w:r>
      <w:r>
        <w:rPr>
          <w:rStyle w:val="VerbatimChar"/>
        </w:rPr>
        <w:t xml:space="preserve">top50</w:t>
      </w:r>
      <w:r>
        <w:t xml:space="preserve"> </w:t>
      </w:r>
      <w:r>
        <w:t xml:space="preserve">wins in 7 of 8 seeds). The effect replicates on DistilBERT-base-uncased at the same scale (</w:t>
      </w:r>
      <w:r>
        <w:rPr>
          <w:rStyle w:val="VerbatimChar"/>
        </w:rPr>
        <w:t xml:space="preserve">top50 − random_5k</w:t>
      </w:r>
      <w:r>
        <w:t xml:space="preserve"> </w:t>
      </w:r>
      <w:r>
        <w:t xml:space="preserve">mean</w:t>
      </w:r>
      <w:r>
        <w:t xml:space="preserve"> </w:t>
      </w:r>
      <w:r>
        <w:rPr>
          <w:rStyle w:val="VerbatimChar"/>
        </w:rPr>
        <w:t xml:space="preserve">−0.063</w:t>
      </w:r>
      <w:r>
        <w:t xml:space="preserve">, CI</w:t>
      </w:r>
      <w:r>
        <w:t xml:space="preserve"> </w:t>
      </w:r>
      <w:r>
        <w:rPr>
          <w:rStyle w:val="VerbatimChar"/>
        </w:rPr>
        <w:t xml:space="preserve">[−0.138, −0.002]</w:t>
      </w:r>
      <w:r>
        <w:t xml:space="preserve">, 6 of 8 seeds), so the filtering signal is architecture-general rather than BERT-specific. Second, the negative-control</w:t>
      </w:r>
      <w:r>
        <w:t xml:space="preserve"> </w:t>
      </w:r>
      <w:r>
        <w:rPr>
          <w:rStyle w:val="VerbatimChar"/>
        </w:rPr>
        <w:t xml:space="preserve">bot25</w:t>
      </w:r>
      <w:r>
        <w:t xml:space="preserve"> </w:t>
      </w:r>
      <w:r>
        <w:t xml:space="preserve">bucket collapses on the same metric across both architectures and both transfer targets: on BERT-Herath</w:t>
      </w:r>
      <w:r>
        <w:t xml:space="preserve"> </w:t>
      </w:r>
      <w:r>
        <w:rPr>
          <w:rStyle w:val="VerbatimChar"/>
        </w:rPr>
        <w:t xml:space="preserve">bot25 − full</w:t>
      </w:r>
      <w:r>
        <w:t xml:space="preserve"> </w:t>
      </w:r>
      <w:r>
        <w:t xml:space="preserve">= +0.358 [+0.295, +0.436] (0/8 seeds), on DistilBERT-Herath +0.341 [+0.271, +0.422] (0/8), on BERT-EduRABSA +0.416 [+0.342, +0.480] (0/8), and on DistilBERT-EduRABSA +0.371 [+0.328, +0.411] (0/8). The audit score discriminates informative training rows from uninformative ones at both ends of the distribution, on both architectures, and on both transfer targets, across all 32 (bucket, architecture, target, seed) configurations of the negative control.</w:t>
      </w:r>
    </w:p>
    <w:p>
      <w:pPr>
        <w:pStyle w:val="BodyText"/>
        <w:jc w:val="both"/>
        <w:keepNext w:val="0"/>
        <w:keepLines w:val="0"/>
        <w:widowControl w:val="1"/>
      </w:pPr>
      <w:r>
        <w:t xml:space="preserve">Table 8F. Cross-architecture and cross-target replication of the §6.7D contrasts. Paired bucket-versus-baseline differences in sentiment MSE on the detector's predicted aspects, mean over eight seeds with 95% bootstrap CI. The</w:t>
      </w:r>
      <w:r>
        <w:t xml:space="preserve"> </w:t>
      </w:r>
      <w:r>
        <w:rPr>
          <w:rStyle w:val="VerbatimChar"/>
        </w:rPr>
        <w:t xml:space="preserve">top50 − random_5k</w:t>
      </w:r>
      <w:r>
        <w:t xml:space="preserve"> </w:t>
      </w:r>
      <w:r>
        <w:t xml:space="preserve">contrast is reported on the architecture-replication row (DistilBERT-Herath) where the experiment is set up to test size-controlled filtering at the same scale as BERT-Herath; on EduRABSA the size-controlled comparison is reserved for the bot25 negative control.</w:t>
      </w:r>
    </w:p>
    <w:tbl>
      <w:tblPr>
        <w:tblStyle w:val="Table"/>
        <w:tblW w:type="pct" w:w="5000"/>
        <w:jc w:val="center"/>
        <w:tblLook w:firstRow="1" w:lastRow="0" w:firstColumn="0" w:lastColumn="0" w:noHBand="0" w:noVBand="0" w:val="0020"/>
        <w:tblCaption w:val="Table 8F. Cross-architecture and cross-target replication of the §6.7D contrasts. Paired bucket-versus-baseline differences in sentiment MSE on the detector's predicted aspects, mean over eight seeds with 95% bootstrap CI. The top50 − random_5k contrast is reported on the architecture-replication row (DistilBERT-Herath) where the experiment is set up to test size-controlled filtering at the same scale as BERT-Herath; on EduRABSA the size-controlled comparison is reserved for the bot25 negative contr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Architecture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Transfer target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top50 − random_5k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Style w:val="VerbatimChar"/>
                <w:rFonts w:ascii="Georgia" w:hAnsi="Georgia"/>
                <w:b/>
                <w:sz w:val="19"/>
              </w:rPr>
              <w:t xml:space="preserve">bot25 − full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−0.054 [−0.090, −0.020]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+0.358 [+0.295, +0.436]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(9-aspect)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−0.063 [−0.138, −0.002]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+0.341 [+0.271, +0.422]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BERT-base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+0.416 [+0.342, +0.480]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DistilBERT-base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EduRABSA (7-aspect)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+0.371 [+0.328, +0.411]</w:t>
            </w:r>
          </w:p>
        </w:tc>
      </w:tr>
    </w:tbl>
    <w:p>
      <w:pPr>
        <w:pStyle w:val="BodyText"/>
        <w:jc w:val="center"/>
        <w:keepNext/>
        <w:keepLines/>
        <w:widowControl w:val="1"/>
      </w:pPr>
      <w:r>
        <w:drawing>
          <wp:inline>
            <wp:extent cx="5943600" cy="4052454"/>
            <wp:effectExtent b="0" l="0" r="0" t="0"/>
            <wp:docPr descr="Faithfulness-aware filtering reduces sentiment-polarity error across two architectures and two transfer targets" title="" id="62" name="Picture"/>
            <a:graphic>
              <a:graphicData uri="http://schemas.openxmlformats.org/drawingml/2006/picture">
                <pic:pic>
                  <pic:nvPicPr>
                    <pic:cNvPr descr="C:/Users/apart/AppData/Local/Temp/html2doc_svg_8G2ejg/svg_8.png" id="63" name="Picture"/>
                    <pic:cNvPicPr>
                      <a:picLocks noChangeArrowheads="1" noChangeAspect="1"/>
                    </pic:cNvPicPr>
                  </pic:nvPicPr>
                  <pic:blipFill>
                    <a:blip r:embed="rId61"/>
                    <a:stretch>
                      <a:fillRect/>
                    </a:stretch>
                  </pic:blipFill>
                  <pic:spPr bwMode="auto">
                    <a:xfrm>
                      <a:off x="0" y="0"/>
                      <a:ext cx="5943600" cy="4052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9.</w:t>
      </w:r>
      <w:r>
        <w:rPr>
          <w:b w:val="0"/>
          <w:i/>
        </w:rPr>
        <w:t xml:space="preserve"> </w:t>
      </w:r>
      <w:r>
        <w:rPr>
          <w:b w:val="0"/>
          <w:i/>
        </w:rPr>
        <w:t>Faithfulness-aware filtering on the 10K synthetic corpus, evaluated across two transfer targets and two BERT-family architectures (n = 8 random seeds per condition, 95% bootstrap CI; lower is better). The bot25 bucket fails on every condition, confirming the audit score is informative at the unfavorable end of the distribution. The top50 bucket beats the size-matched random sample on both Herath transfer conditions, and matches the full corpus while training on half the data.</w:t>
      </w:r>
    </w:p>
    <w:p>
      <w:pPr>
        <w:pStyle w:val="BodyText"/>
        <w:jc w:val="both"/>
        <w:keepNext w:val="0"/>
        <w:keepLines w:val="0"/>
        <w:widowControl w:val="1"/>
      </w:pPr>
      <w:r>
        <w:t xml:space="preserve">Practically, the result is that the audit score in Section 6.7B is an actionable filter for downstream training. Discarding the bottom 50% of the corpus by faithfulness score matches the full-corpus sentiment-MSE level at half the training cost on Herath, and the recipe transfers to a smaller distilled architecture without loss. Discarding the bottom 25% is decisively the wrong move: that bucket is an active liability for sentiment polarity on every (architecture, target) condition we tested, with sentiment MSE 0.34 to 0.42 above the full corpus.</w:t>
      </w:r>
    </w:p>
    <w:p>
      <w:pPr>
        <w:pStyle w:val="BodyText"/>
        <w:jc w:val="both"/>
        <w:keepNext w:val="0"/>
        <w:keepLines w:val="0"/>
        <w:widowControl w:val="1"/>
      </w:pPr>
      <w:r>
        <w:t xml:space="preserve">We additionally cross-checked that the bucketing is not specific to the chosen audit judge by re-auditing the original 250-row calibration sample with Claude 3.5 Haiku via OpenRouter: per-aspect support agreement against the GPT-5.2 audit was 0.817 and sentiment-match agreement was 0.678, comparable to the gpt-4.1-mini calibration used at scale. The audit-derived buckets are therefore robust to the choice of cost-matched judge.</w:t>
      </w:r>
    </w:p>
    <w:bookmarkEnd w:id="64"/>
    <w:bookmarkStart w:id="65"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partial transfer to one real educational corpus, and a faithfulness-aware filtering recipe that retains the top-50% of the corpus by audit score to reduce sentiment-polarity error on transferred aspects.</w:t>
      </w:r>
    </w:p>
    <w:bookmarkEnd w:id="65"/>
    <w:bookmarkEnd w:id="66"/>
    <w:bookmarkStart w:id="70"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67"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uses two real educational corpora (Herath 9-aspect, EduRABSA 7-aspect) and conservative aspect overlaps, so broader claims about the entire 20-aspect schema still require additional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6.7D top-50% faithfulness filter (validated across two BERT-family architectures and both transfer targets);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67"/>
    <w:bookmarkStart w:id="68"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6.7D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68"/>
    <w:bookmarkStart w:id="69"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69"/>
    <w:bookmarkEnd w:id="70"/>
    <w:bookmarkStart w:id="71"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1"/>
    <w:bookmarkStart w:id="94" w:name="appendix"/>
    <w:p>
      <w:pPr>
        <w:pStyle w:val="Heading2"/>
        <w:keepNext/>
        <w:keepLines/>
        <w:widowControl w:val="1"/>
      </w:pPr>
      <w:r>
        <w:t xml:space="preserve">Appendix</w:t>
      </w:r>
    </w:p>
    <w:bookmarkStart w:id="72"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72"/>
    <w:bookmarkStart w:id="73"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73"/>
    <w:bookmarkStart w:id="74"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74"/>
    <w:bookmarkStart w:id="75"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7.</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75"/>
    <w:bookmarkStart w:id="79"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77" name="Picture"/>
            <a:graphic>
              <a:graphicData uri="http://schemas.openxmlformats.org/drawingml/2006/picture">
                <pic:pic>
                  <pic:nvPicPr>
                    <pic:cNvPr descr="C:/Users/apart/AppData/Local/Temp/html2doc_svg_8G2ejg/svg_9.png" id="78" name="Picture"/>
                    <pic:cNvPicPr>
                      <a:picLocks noChangeArrowheads="1" noChangeAspect="1"/>
                    </pic:cNvPicPr>
                  </pic:nvPicPr>
                  <pic:blipFill>
                    <a:blip r:embed="rId76"/>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79"/>
    <w:bookmarkStart w:id="80"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80"/>
    <w:bookmarkStart w:id="84"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82" name="Picture"/>
            <a:graphic>
              <a:graphicData uri="http://schemas.openxmlformats.org/drawingml/2006/picture">
                <pic:pic>
                  <pic:nvPicPr>
                    <pic:cNvPr descr="C:/Users/apart/AppData/Local/Temp/html2doc_svg_8G2ejg/svg_10.png" id="83" name="Picture"/>
                    <pic:cNvPicPr>
                      <a:picLocks noChangeArrowheads="1" noChangeAspect="1"/>
                    </pic:cNvPicPr>
                  </pic:nvPicPr>
                  <pic:blipFill>
                    <a:blip r:embed="rId81"/>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84"/>
    <w:bookmarkStart w:id="85"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85"/>
    <w:bookmarkStart w:id="92"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87" name="Picture"/>
            <a:graphic>
              <a:graphicData uri="http://schemas.openxmlformats.org/drawingml/2006/picture">
                <pic:pic>
                  <pic:nvPicPr>
                    <pic:cNvPr descr="C:/Users/apart/AppData/Local/Temp/html2doc_svg_8G2ejg/svg_11.png" id="88" name="Picture"/>
                    <pic:cNvPicPr>
                      <a:picLocks noChangeArrowheads="1" noChangeAspect="1"/>
                    </pic:cNvPicPr>
                  </pic:nvPicPr>
                  <pic:blipFill>
                    <a:blip r:embed="rId86"/>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90" name="Picture"/>
            <a:graphic>
              <a:graphicData uri="http://schemas.openxmlformats.org/drawingml/2006/picture">
                <pic:pic>
                  <pic:nvPicPr>
                    <pic:cNvPr descr="C:/Users/apart/AppData/Local/Temp/html2doc_svg_8G2ejg/svg_12.png" id="91" name="Picture"/>
                    <pic:cNvPicPr>
                      <a:picLocks noChangeArrowheads="1" noChangeAspect="1"/>
                    </pic:cNvPicPr>
                  </pic:nvPicPr>
                  <pic:blipFill>
                    <a:blip r:embed="rId89"/>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92"/>
    <w:bookmarkStart w:id="93"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93"/>
    <w:bookmarkEnd w:id="94"/>
    <w:bookmarkStart w:id="126"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95">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96">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97">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98">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99">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0">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1">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2">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3">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04">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05">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Yan Cathy Hua, Paul Denny, Jörg Wicker, and Katerina Taskova. 2025.</w:t>
      </w:r>
      <w:r>
        <w:t xml:space="preserve"> </w:t>
      </w:r>
      <w:hyperlink r:id="rId106">
        <w:r>
          <w:rPr>
            <w:rStyle w:val="Hyperlink"/>
          </w:rPr>
          <w:t xml:space="preserve">EduRABSA: An Education Review Dataset for Aspect-based Sentiment Analysis Tasks</w:t>
        </w:r>
      </w:hyperlink>
      <w:r>
        <w:t xml:space="preserve">. arXiv:2508.17008.</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07">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08">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09">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0">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1">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2">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3">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4">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15">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16">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17">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18">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19">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0">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1">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2">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3">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4">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25">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2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7" Type="http://schemas.openxmlformats.org/officeDocument/2006/relationships/image" Target="media/rId27.png"/><Relationship Id="rId81" Type="http://schemas.openxmlformats.org/officeDocument/2006/relationships/image" Target="media/rId81.png"/><Relationship Id="rId86" Type="http://schemas.openxmlformats.org/officeDocument/2006/relationships/image" Target="media/rId86.png"/><Relationship Id="rId89" Type="http://schemas.openxmlformats.org/officeDocument/2006/relationships/image" Target="media/rId89.png"/><Relationship Id="rId33" Type="http://schemas.openxmlformats.org/officeDocument/2006/relationships/image" Target="media/rId33.png"/><Relationship Id="rId36" Type="http://schemas.openxmlformats.org/officeDocument/2006/relationships/image" Target="media/rId36.png"/><Relationship Id="rId41" Type="http://schemas.openxmlformats.org/officeDocument/2006/relationships/image" Target="media/rId41.png"/><Relationship Id="rId46" Type="http://schemas.openxmlformats.org/officeDocument/2006/relationships/image" Target="media/rId46.png"/><Relationship Id="rId50" Type="http://schemas.openxmlformats.org/officeDocument/2006/relationships/image" Target="media/rId50.png"/><Relationship Id="rId53" Type="http://schemas.openxmlformats.org/officeDocument/2006/relationships/image" Target="media/rId53.png"/><Relationship Id="rId61" Type="http://schemas.openxmlformats.org/officeDocument/2006/relationships/image" Target="media/rId61.png"/><Relationship Id="rId76" Type="http://schemas.openxmlformats.org/officeDocument/2006/relationships/image" Target="media/rId76.png"/><Relationship Id="rId109" Type="http://schemas.openxmlformats.org/officeDocument/2006/relationships/hyperlink" Target="https://aclanthology.org/2021.acl-long.188/" TargetMode="External"/><Relationship Id="rId108" Type="http://schemas.openxmlformats.org/officeDocument/2006/relationships/hyperlink" Target="https://aclanthology.org/2021.eacl-main.20/" TargetMode="External"/><Relationship Id="rId110" Type="http://schemas.openxmlformats.org/officeDocument/2006/relationships/hyperlink" Target="https://aclanthology.org/2021.emnlp-main.361/" TargetMode="External"/><Relationship Id="rId107" Type="http://schemas.openxmlformats.org/officeDocument/2006/relationships/hyperlink" Target="https://aclanthology.org/2021.emnlp-main.362/" TargetMode="External"/><Relationship Id="rId120" Type="http://schemas.openxmlformats.org/officeDocument/2006/relationships/hyperlink" Target="https://aclanthology.org/2021.findings-acl.84/" TargetMode="External"/><Relationship Id="rId105" Type="http://schemas.openxmlformats.org/officeDocument/2006/relationships/hyperlink" Target="https://aclanthology.org/2022.lrec-1.219/" TargetMode="External"/><Relationship Id="rId122" Type="http://schemas.openxmlformats.org/officeDocument/2006/relationships/hyperlink" Target="https://aclanthology.org/2023.acl-long.754/" TargetMode="External"/><Relationship Id="rId100" Type="http://schemas.openxmlformats.org/officeDocument/2006/relationships/hyperlink" Target="https://aclanthology.org/2023.emnlp-main.647/" TargetMode="External"/><Relationship Id="rId99" Type="http://schemas.openxmlformats.org/officeDocument/2006/relationships/hyperlink" Target="https://aclanthology.org/2023.findings-acl.612/" TargetMode="External"/><Relationship Id="rId123" Type="http://schemas.openxmlformats.org/officeDocument/2006/relationships/hyperlink" Target="https://aclanthology.org/2023.wassa-1.3/" TargetMode="External"/><Relationship Id="rId124" Type="http://schemas.openxmlformats.org/officeDocument/2006/relationships/hyperlink" Target="https://aclanthology.org/2024.eacl-long.167/" TargetMode="External"/><Relationship Id="rId125" Type="http://schemas.openxmlformats.org/officeDocument/2006/relationships/hyperlink" Target="https://aclanthology.org/2024.findings-naacl.246/" TargetMode="External"/><Relationship Id="rId114" Type="http://schemas.openxmlformats.org/officeDocument/2006/relationships/hyperlink" Target="https://aclanthology.org/2024.lrec-main.879/" TargetMode="External"/><Relationship Id="rId101" Type="http://schemas.openxmlformats.org/officeDocument/2006/relationships/hyperlink" Target="https://aclanthology.org/C16-1233/" TargetMode="External"/><Relationship Id="rId102" Type="http://schemas.openxmlformats.org/officeDocument/2006/relationships/hyperlink" Target="https://aclanthology.org/L18-1425/" TargetMode="External"/><Relationship Id="rId98" Type="http://schemas.openxmlformats.org/officeDocument/2006/relationships/hyperlink" Target="https://aclanthology.org/N19-1423/" TargetMode="External"/><Relationship Id="rId96" Type="http://schemas.openxmlformats.org/officeDocument/2006/relationships/hyperlink" Target="https://aclanthology.org/S14-2004/" TargetMode="External"/><Relationship Id="rId97" Type="http://schemas.openxmlformats.org/officeDocument/2006/relationships/hyperlink" Target="https://aclanthology.org/S16-1002/" TargetMode="External"/><Relationship Id="rId106" Type="http://schemas.openxmlformats.org/officeDocument/2006/relationships/hyperlink" Target="https://arxiv.org/abs/2508.17008" TargetMode="External"/><Relationship Id="rId119" Type="http://schemas.openxmlformats.org/officeDocument/2006/relationships/hyperlink" Target="https://doi.org/10.1016/j.compedu.2020.103965" TargetMode="External"/><Relationship Id="rId112" Type="http://schemas.openxmlformats.org/officeDocument/2006/relationships/hyperlink" Target="https://doi.org/10.1016/j.nlp.2022.100003" TargetMode="External"/><Relationship Id="rId111" Type="http://schemas.openxmlformats.org/officeDocument/2006/relationships/hyperlink" Target="https://doi.org/10.1016/j.stueduc.2021.100979" TargetMode="External"/><Relationship Id="rId113" Type="http://schemas.openxmlformats.org/officeDocument/2006/relationships/hyperlink" Target="https://doi.org/10.1016/j.stueduc.2024.101406" TargetMode="External"/><Relationship Id="rId116" Type="http://schemas.openxmlformats.org/officeDocument/2006/relationships/hyperlink" Target="https://doi.org/10.1080/02602938.2018.1463354" TargetMode="External"/><Relationship Id="rId117" Type="http://schemas.openxmlformats.org/officeDocument/2006/relationships/hyperlink" Target="https://doi.org/10.1080/07294360.2019.1657807" TargetMode="External"/><Relationship Id="rId103" Type="http://schemas.openxmlformats.org/officeDocument/2006/relationships/hyperlink" Target="https://doi.org/10.1108/EL-06-2019-0140" TargetMode="External"/><Relationship Id="rId104" Type="http://schemas.openxmlformats.org/officeDocument/2006/relationships/hyperlink" Target="https://doi.org/10.1109/ACCESS.2022.3177752" TargetMode="External"/><Relationship Id="rId118" Type="http://schemas.openxmlformats.org/officeDocument/2006/relationships/hyperlink" Target="https://doi.org/10.1186/s41039-018-0073-0" TargetMode="External"/><Relationship Id="rId115" Type="http://schemas.openxmlformats.org/officeDocument/2006/relationships/hyperlink" Target="https://doi.org/10.3102/003465430298487" TargetMode="External"/><Relationship Id="rId121" Type="http://schemas.openxmlformats.org/officeDocument/2006/relationships/hyperlink" Target="https://proceedings.neurips.cc/paper_files/paper/2022/hash/0346c148ba1c21c6b4780a961ea141dc-Abstract-Conference.html" TargetMode="External"/><Relationship Id="rId95"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clanthology.org/2021.acl-long.188/" TargetMode="External"/><Relationship Id="rId108" Type="http://schemas.openxmlformats.org/officeDocument/2006/relationships/hyperlink" Target="https://aclanthology.org/2021.eacl-main.20/" TargetMode="External"/><Relationship Id="rId110" Type="http://schemas.openxmlformats.org/officeDocument/2006/relationships/hyperlink" Target="https://aclanthology.org/2021.emnlp-main.361/" TargetMode="External"/><Relationship Id="rId107" Type="http://schemas.openxmlformats.org/officeDocument/2006/relationships/hyperlink" Target="https://aclanthology.org/2021.emnlp-main.362/" TargetMode="External"/><Relationship Id="rId120" Type="http://schemas.openxmlformats.org/officeDocument/2006/relationships/hyperlink" Target="https://aclanthology.org/2021.findings-acl.84/" TargetMode="External"/><Relationship Id="rId105" Type="http://schemas.openxmlformats.org/officeDocument/2006/relationships/hyperlink" Target="https://aclanthology.org/2022.lrec-1.219/" TargetMode="External"/><Relationship Id="rId122" Type="http://schemas.openxmlformats.org/officeDocument/2006/relationships/hyperlink" Target="https://aclanthology.org/2023.acl-long.754/" TargetMode="External"/><Relationship Id="rId100" Type="http://schemas.openxmlformats.org/officeDocument/2006/relationships/hyperlink" Target="https://aclanthology.org/2023.emnlp-main.647/" TargetMode="External"/><Relationship Id="rId99" Type="http://schemas.openxmlformats.org/officeDocument/2006/relationships/hyperlink" Target="https://aclanthology.org/2023.findings-acl.612/" TargetMode="External"/><Relationship Id="rId123" Type="http://schemas.openxmlformats.org/officeDocument/2006/relationships/hyperlink" Target="https://aclanthology.org/2023.wassa-1.3/" TargetMode="External"/><Relationship Id="rId124" Type="http://schemas.openxmlformats.org/officeDocument/2006/relationships/hyperlink" Target="https://aclanthology.org/2024.eacl-long.167/" TargetMode="External"/><Relationship Id="rId125" Type="http://schemas.openxmlformats.org/officeDocument/2006/relationships/hyperlink" Target="https://aclanthology.org/2024.findings-naacl.246/" TargetMode="External"/><Relationship Id="rId114" Type="http://schemas.openxmlformats.org/officeDocument/2006/relationships/hyperlink" Target="https://aclanthology.org/2024.lrec-main.879/" TargetMode="External"/><Relationship Id="rId101" Type="http://schemas.openxmlformats.org/officeDocument/2006/relationships/hyperlink" Target="https://aclanthology.org/C16-1233/" TargetMode="External"/><Relationship Id="rId102" Type="http://schemas.openxmlformats.org/officeDocument/2006/relationships/hyperlink" Target="https://aclanthology.org/L18-1425/" TargetMode="External"/><Relationship Id="rId98" Type="http://schemas.openxmlformats.org/officeDocument/2006/relationships/hyperlink" Target="https://aclanthology.org/N19-1423/" TargetMode="External"/><Relationship Id="rId96" Type="http://schemas.openxmlformats.org/officeDocument/2006/relationships/hyperlink" Target="https://aclanthology.org/S14-2004/" TargetMode="External"/><Relationship Id="rId97" Type="http://schemas.openxmlformats.org/officeDocument/2006/relationships/hyperlink" Target="https://aclanthology.org/S16-1002/" TargetMode="External"/><Relationship Id="rId106" Type="http://schemas.openxmlformats.org/officeDocument/2006/relationships/hyperlink" Target="https://arxiv.org/abs/2508.17008" TargetMode="External"/><Relationship Id="rId119" Type="http://schemas.openxmlformats.org/officeDocument/2006/relationships/hyperlink" Target="https://doi.org/10.1016/j.compedu.2020.103965" TargetMode="External"/><Relationship Id="rId112" Type="http://schemas.openxmlformats.org/officeDocument/2006/relationships/hyperlink" Target="https://doi.org/10.1016/j.nlp.2022.100003" TargetMode="External"/><Relationship Id="rId111" Type="http://schemas.openxmlformats.org/officeDocument/2006/relationships/hyperlink" Target="https://doi.org/10.1016/j.stueduc.2021.100979" TargetMode="External"/><Relationship Id="rId113" Type="http://schemas.openxmlformats.org/officeDocument/2006/relationships/hyperlink" Target="https://doi.org/10.1016/j.stueduc.2024.101406" TargetMode="External"/><Relationship Id="rId116" Type="http://schemas.openxmlformats.org/officeDocument/2006/relationships/hyperlink" Target="https://doi.org/10.1080/02602938.2018.1463354" TargetMode="External"/><Relationship Id="rId117" Type="http://schemas.openxmlformats.org/officeDocument/2006/relationships/hyperlink" Target="https://doi.org/10.1080/07294360.2019.1657807" TargetMode="External"/><Relationship Id="rId103" Type="http://schemas.openxmlformats.org/officeDocument/2006/relationships/hyperlink" Target="https://doi.org/10.1108/EL-06-2019-0140" TargetMode="External"/><Relationship Id="rId104" Type="http://schemas.openxmlformats.org/officeDocument/2006/relationships/hyperlink" Target="https://doi.org/10.1109/ACCESS.2022.3177752" TargetMode="External"/><Relationship Id="rId118" Type="http://schemas.openxmlformats.org/officeDocument/2006/relationships/hyperlink" Target="https://doi.org/10.1186/s41039-018-0073-0" TargetMode="External"/><Relationship Id="rId115" Type="http://schemas.openxmlformats.org/officeDocument/2006/relationships/hyperlink" Target="https://doi.org/10.3102/003465430298487" TargetMode="External"/><Relationship Id="rId121" Type="http://schemas.openxmlformats.org/officeDocument/2006/relationships/hyperlink" Target="https://proceedings.neurips.cc/paper_files/paper/2022/hash/0346c148ba1c21c6b4780a961ea141dc-Abstract-Conference.html" TargetMode="External"/><Relationship Id="rId95"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2026-06-05T06:03:16Z</dcterms:created>
  <dcterms:modified xsi:type="dcterms:W3CDTF">2026-06-05T06:03:16Z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