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replication across two architectures and two real transfer targets,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sloLbY/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sloLbY/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sloLbY/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sloLbY/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sloLbY/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sloLbY/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sloLbY/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sloLbY/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5.8 audit scores all three. The right comparison is per aspect, because the filter audits each declared aspect independently. Across 2,482 aspect-label decisions the audit reproduces the human judgment at Cohen's kappa 0.56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analysis is conducted with LLM judges and improves prompt quality without establishing statistical indistinguishability from real reviews; the label-faithfulness audit is validated three ways (a behavioral negative control, cross-provider judge agreement, and direct agreement with human labels at Cohen's kappa 0.56 on two annotated corpora, Section 5.9), and human re-annotation across the full 20-aspect schema remains the natural extension.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sloLbY/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sloLbY/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sloLbY/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sloLbY/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sloLbY/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2026-06-13T02:30:39Z</dcterms:created>
  <dcterms:modified xsi:type="dcterms:W3CDTF">2026-06-13T02:30:39Z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