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Times New Roman" w:hAnsi="Times New Roman"/>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and where label noise remains. The study therefore contributes a synthetic educational ABSA corpus, a documented generation procedure, and a reproducible benchmark setting for a domain in which public labeled data remain difficult to obtain.</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M1DYUP/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pStyle w:val="BodyText"/>
        <w:jc w:val="center"/>
        <w:keepNext/>
        <w:keepLines/>
        <w:widowControl w:val="1"/>
      </w:pPr>
      <w:r>
        <w:drawing>
          <wp:inline>
            <wp:extent cx="5943600" cy="3194685"/>
            <wp:effectExtent b="0" l="0" r="0" t="0"/>
            <wp:docPr descr="ABSA analysis pipeline" title="" id="19" name="Picture"/>
            <a:graphic>
              <a:graphicData uri="http://schemas.openxmlformats.org/drawingml/2006/picture">
                <pic:pic>
                  <pic:nvPicPr>
                    <pic:cNvPr descr="C:/Users/apart/AppData/Local/Temp/html2doc_svg_M1DYUP/svg_1.png" id="20" name="Picture"/>
                    <pic:cNvPicPr>
                      <a:picLocks noChangeArrowheads="1" noChangeAspect="1"/>
                    </pic:cNvPicPr>
                  </pic:nvPicPr>
                  <pic:blipFill>
                    <a:blip r:embed="rId18"/>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All reported methods share one corpus, one split policy, one validation stage, and one held-out test report.</w:t>
      </w: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course_name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course_level</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semester_stage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assessment_profile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instruction_delivery</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support_channel_experience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writing_style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emotional_temperature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hedging_level</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review_shape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contradiction_pattern</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memory_anchor</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Main benchmark</w:t>
            </w:r>
            <w:r>
              <w:rPr>
                <w:rFonts w:ascii="Times New Roman" w:hAnsi="Times New Roman"/>
                <w:sz w:val="19"/>
              </w:rPr>
              <w:br/>
            </w:r>
            <w:r>
              <w:rPr>
                <w:rFonts w:ascii="Times New Roman" w:hAnsi="Times New Roman"/>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distilbert-base-uncased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bert-base-uncased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albert-base-v2</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Main benchmark</w:t>
            </w:r>
            <w:r>
              <w:rPr>
                <w:rFonts w:ascii="Times New Roman" w:hAnsi="Times New Roman"/>
                <w:sz w:val="19"/>
              </w:rPr>
              <w:br/>
            </w:r>
            <w:r>
              <w:rPr>
                <w:rFonts w:ascii="Times New Roman" w:hAnsi="Times New Roman"/>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bert_joint</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Executed comparison</w:t>
            </w:r>
            <w:r>
              <w:rPr>
                <w:rFonts w:ascii="Times New Roman" w:hAnsi="Times New Roman"/>
                <w:sz w:val="19"/>
              </w:rPr>
              <w:br/>
            </w:r>
            <w:r>
              <w:rPr>
                <w:rFonts w:ascii="Times New Roman" w:hAnsi="Times New Roman"/>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w:t>
            </w:r>
            <w:r>
              <w:rPr>
                <w:rFonts w:ascii="Times New Roman" w:hAnsi="Times New Roman"/>
                <w:sz w:val="19"/>
              </w:rPr>
              <w:t xml:space="preserve"> </w:t>
            </w:r>
            <w:r>
              <w:rPr>
                <w:rFonts w:ascii="Times New Roman" w:hAnsi="Times New Roman"/>
                <w:sz w:val="19"/>
              </w:rPr>
              <w:t xml:space="preserve">zero-shot, few-shot, few-shot-diverse,</w:t>
            </w:r>
            <w:r>
              <w:rPr>
                <w:rFonts w:ascii="Times New Roman" w:hAnsi="Times New Roman"/>
                <w:sz w:val="19"/>
              </w:rPr>
              <w:t xml:space="preserve"> </w:t>
            </w:r>
            <w:r>
              <w:rPr>
                <w:rStyle w:val="VerbatimChar"/>
                <w:rFonts w:ascii="Times New Roman" w:hAnsi="Times New Roman"/>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Executed comparison</w:t>
            </w:r>
            <w:r>
              <w:rPr>
                <w:rFonts w:ascii="Times New Roman" w:hAnsi="Times New Roman"/>
                <w:sz w:val="19"/>
              </w:rPr>
              <w:br/>
            </w:r>
            <w:r>
              <w:rPr>
                <w:rFonts w:ascii="Times New Roman" w:hAnsi="Times New Roman"/>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Substantial variation in compression and detail remains visible even after length controls</w:t>
            </w:r>
          </w:p>
        </w:tc>
      </w:tr>
    </w:tbl>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31" name="Picture"/>
            <a:graphic>
              <a:graphicData uri="http://schemas.openxmlformats.org/drawingml/2006/picture">
                <pic:pic>
                  <pic:nvPicPr>
                    <pic:cNvPr descr="C:/Users/apart/AppData/Local/Temp/html2doc_svg_M1DYUP/svg_2.png" id="32" name="Picture"/>
                    <pic:cNvPicPr>
                      <a:picLocks noChangeArrowheads="1" noChangeAspect="1"/>
                    </pic:cNvPicPr>
                  </pic:nvPicPr>
                  <pic:blipFill>
                    <a:blip r:embed="rId30"/>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68"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5943600" cy="4272623"/>
            <wp:effectExtent b="0" l="0" r="0" t="0"/>
            <wp:docPr descr="Aspect sentiment heatmap" title="" id="37" name="Picture"/>
            <a:graphic>
              <a:graphicData uri="http://schemas.openxmlformats.org/drawingml/2006/picture">
                <pic:pic>
                  <pic:nvPicPr>
                    <pic:cNvPr descr="C:/Users/apart/AppData/Local/Temp/html2doc_svg_M1DYUP/svg_3.png" id="38" name="Picture"/>
                    <pic:cNvPicPr>
                      <a:picLocks noChangeArrowheads="1" noChangeAspect="1"/>
                    </pic:cNvPicPr>
                  </pic:nvPicPr>
                  <pic:blipFill>
                    <a:blip r:embed="rId36"/>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40" name="Picture"/>
            <a:graphic>
              <a:graphicData uri="http://schemas.openxmlformats.org/drawingml/2006/picture">
                <pic:pic>
                  <pic:nvPicPr>
                    <pic:cNvPr descr="C:/Users/apart/AppData/Local/Temp/html2doc_svg_M1DYUP/svg_4.png" id="41" name="Picture"/>
                    <pic:cNvPicPr>
                      <a:picLocks noChangeArrowheads="1" noChangeAspect="1"/>
                    </pic:cNvPicPr>
                  </pic:nvPicPr>
                  <pic:blipFill>
                    <a:blip r:embed="rId39"/>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difficulty=positive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assessment_design=negative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42"/>
    <w:bookmarkStart w:id="43" w:name="scope-of-reported-analyses"/>
    <w:p>
      <w:pPr>
        <w:pStyle w:val="Heading3"/>
        <w:keepNext/>
        <w:keepLines/>
        <w:widowControl w:val="1"/>
      </w:pPr>
      <w:r>
        <w:t xml:space="preserve">6.2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22.19</w:t>
            </w:r>
          </w:p>
        </w:tc>
      </w:tr>
    </w:tbl>
    <w:p>
      <w:pPr>
        <w:pStyle w:val="BodyText"/>
        <w:jc w:val="center"/>
        <w:keepNext/>
        <w:keepLines/>
        <w:widowControl w:val="1"/>
      </w:pPr>
      <w:r>
        <w:drawing>
          <wp:inline>
            <wp:extent cx="5943600" cy="2241927"/>
            <wp:effectExtent b="0" l="0" r="0" t="0"/>
            <wp:docPr descr="Benchmark comparison" title="" id="45" name="Picture"/>
            <a:graphic>
              <a:graphicData uri="http://schemas.openxmlformats.org/drawingml/2006/picture">
                <pic:pic>
                  <pic:nvPicPr>
                    <pic:cNvPr descr="C:/Users/apart/AppData/Local/Temp/html2doc_svg_M1DYUP/svg_5.png" id="46" name="Picture"/>
                    <pic:cNvPicPr>
                      <a:picLocks noChangeArrowheads="1" noChangeAspect="1"/>
                    </pic:cNvPicPr>
                  </pic:nvPicPr>
                  <pic:blipFill>
                    <a:blip r:embed="rId44"/>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50" name="Picture"/>
            <a:graphic>
              <a:graphicData uri="http://schemas.openxmlformats.org/drawingml/2006/picture">
                <pic:pic>
                  <pic:nvPicPr>
                    <pic:cNvPr descr="C:/Users/apart/AppData/Local/Temp/html2doc_svg_M1DYUP/svg_6.png" id="51" name="Picture"/>
                    <pic:cNvPicPr>
                      <a:picLocks noChangeArrowheads="1" noChangeAspect="1"/>
                    </pic:cNvPicPr>
                  </pic:nvPicPr>
                  <pic:blipFill>
                    <a:blip r:embed="rId49"/>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0.0841</w:t>
            </w:r>
          </w:p>
        </w:tc>
      </w:tr>
    </w:tbl>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54" name="Picture"/>
            <a:graphic>
              <a:graphicData uri="http://schemas.openxmlformats.org/drawingml/2006/picture">
                <pic:pic>
                  <pic:nvPicPr>
                    <pic:cNvPr descr="C:/Users/apart/AppData/Local/Temp/html2doc_svg_M1DYUP/svg_7.png" id="55" name="Picture"/>
                    <pic:cNvPicPr>
                      <a:picLocks noChangeArrowheads="1" noChangeAspect="1"/>
                    </pic:cNvPicPr>
                  </pic:nvPicPr>
                  <pic:blipFill>
                    <a:blip r:embed="rId5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57" name="Picture"/>
            <a:graphic>
              <a:graphicData uri="http://schemas.openxmlformats.org/drawingml/2006/picture">
                <pic:pic>
                  <pic:nvPicPr>
                    <pic:cNvPr descr="C:/Users/apart/AppData/Local/Temp/html2doc_svg_M1DYUP/svg_8.png" id="58" name="Picture"/>
                    <pic:cNvPicPr>
                      <a:picLocks noChangeArrowheads="1" noChangeAspect="1"/>
                    </pic:cNvPicPr>
                  </pic:nvPicPr>
                  <pic:blipFill>
                    <a:blip r:embed="rId5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pStyle w:val="BodyText"/>
        <w:jc w:val="center"/>
        <w:keepNext/>
        <w:keepLines/>
        <w:widowControl w:val="1"/>
      </w:pPr>
      <w:r>
        <w:drawing>
          <wp:inline>
            <wp:extent cx="5943600" cy="3194685"/>
            <wp:effectExtent b="0" l="0" r="0" t="0"/>
            <wp:docPr descr="Realism validation and prompt refinement pipeline" title="" id="64" name="Picture"/>
            <a:graphic>
              <a:graphicData uri="http://schemas.openxmlformats.org/drawingml/2006/picture">
                <pic:pic>
                  <pic:nvPicPr>
                    <pic:cNvPr descr="C:/Users/apart/AppData/Local/Temp/html2doc_svg_M1DYUP/svg_9.png" id="65" name="Picture"/>
                    <pic:cNvPicPr>
                      <a:picLocks noChangeArrowheads="1" noChangeAspect="1"/>
                    </pic:cNvPicPr>
                  </pic:nvPicPr>
                  <pic:blipFill>
                    <a:blip r:embed="rId63"/>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10.</w:t>
      </w:r>
      <w:r>
        <w:rPr>
          <w:b w:val="0"/>
          <w:i/>
        </w:rPr>
        <w:t xml:space="preserve"> </w:t>
      </w:r>
      <w:r>
        <w:rPr>
          <w:b w:val="0"/>
          <w:i/>
        </w:rPr>
        <w:t>The realism-validation loop. A judge evaluates one blended pool of real and synthetic reviews, the resulting metrics and cue evidence are summarized, and prompt revision affects the next cycle.</w:t>
      </w:r>
    </w:p>
    <w:bookmarkEnd w:id="66"/>
    <w:bookmarkStart w:id="67"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and partial transfer to one real educational corpus, while the label-faithfulness audit clarifies how the benchmark can be interpreted productively as a useful but noisy resource.</w:t>
      </w:r>
    </w:p>
    <w:bookmarkEnd w:id="67"/>
    <w:bookmarkEnd w:id="68"/>
    <w:bookmarkStart w:id="72"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69"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is still narrow: the transfer result uses one real educational corpus and only a conservative 9-aspect overlap, so broader claims about the entire 20-aspect schema still require more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the label-faithfulness audit indicates that many declared aspect polarities are expressed only approximately in the generated text, so the corpus is best treated as a useful noisy benchmark rather than as a gold-standard annotation set.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69"/>
    <w:bookmarkStart w:id="70"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extension flagged in Section 7.1 is the natural next step.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70"/>
    <w:bookmarkStart w:id="71"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1"/>
    <w:bookmarkEnd w:id="72"/>
    <w:bookmarkStart w:id="73"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3"/>
    <w:bookmarkStart w:id="96" w:name="appendix"/>
    <w:p>
      <w:pPr>
        <w:pStyle w:val="Heading2"/>
        <w:keepNext/>
        <w:keepLines/>
        <w:widowControl w:val="1"/>
      </w:pPr>
      <w:r>
        <w:t xml:space="preserve">Appendix</w:t>
      </w:r>
    </w:p>
    <w:bookmarkStart w:id="7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Global student impression after tradeoffs.</w:t>
            </w:r>
          </w:p>
        </w:tc>
      </w:tr>
    </w:tbl>
    <w:bookmarkEnd w:id="74"/>
    <w:bookmarkStart w:id="7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Target aspects</w:t>
            </w:r>
          </w:p>
          <w:p>
            <w:pPr>
              <w:pStyle w:val="SourceCode"/>
              <w:spacing w:before="0" w:after="20" w:line="240" w:lineRule="auto"/>
              <w:jc w:val="center"/>
              <w:keepNext w:val="0"/>
              <w:keepLines/>
              <w:widowControl w:val="1"/>
            </w:pPr>
            <w:r>
              <w:rPr>
                <w:rStyle w:val="VerbatimChar"/>
                <w:rFonts w:ascii="Times New Roman" w:hAnsi="Times New Roman"/>
                <w:sz w:val="19"/>
              </w:rPr>
              <w:t xml:space="preserve">{"lecturer_quality": "negative", "relevance": "positive"}</w:t>
            </w:r>
          </w:p>
          <w:p>
            <w:pPr>
              <w:pStyle w:val="Compact"/>
              <w:spacing w:before="0" w:after="20" w:line="240" w:lineRule="auto"/>
              <w:jc w:val="center"/>
              <w:keepNext w:val="0"/>
              <w:keepLines/>
              <w:widowControl w:val="1"/>
            </w:pPr>
            <w:r>
              <w:rPr>
                <w:rFonts w:ascii="Times New Roman" w:hAnsi="Times New Roman"/>
                <w:sz w:val="19"/>
              </w:rPr>
              <w:t xml:space="preserve">Sampled nuance attributes</w:t>
            </w:r>
          </w:p>
          <w:p>
            <w:pPr>
              <w:pStyle w:val="SourceCode"/>
              <w:spacing w:before="0" w:after="20" w:line="240" w:lineRule="auto"/>
              <w:jc w:val="center"/>
              <w:keepNext w:val="0"/>
              <w:keepLines/>
              <w:widowControl w:val="1"/>
            </w:pPr>
            <w:r>
              <w:rPr>
                <w:rStyle w:val="VerbatimChar"/>
                <w:rFonts w:ascii="Times New Roman" w:hAnsi="Times New Roman"/>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Target aspects</w:t>
            </w:r>
          </w:p>
          <w:p>
            <w:pPr>
              <w:pStyle w:val="SourceCode"/>
              <w:spacing w:before="0" w:after="20" w:line="240" w:lineRule="auto"/>
              <w:jc w:val="center"/>
              <w:keepNext w:val="0"/>
              <w:keepLines/>
              <w:widowControl w:val="1"/>
            </w:pPr>
            <w:r>
              <w:rPr>
                <w:rStyle w:val="VerbatimChar"/>
                <w:rFonts w:ascii="Times New Roman" w:hAnsi="Times New Roman"/>
                <w:sz w:val="19"/>
              </w:rPr>
              <w:t xml:space="preserve">{"interest": "positive", "accessibility": "negative"}</w:t>
            </w:r>
          </w:p>
          <w:p>
            <w:pPr>
              <w:pStyle w:val="Compact"/>
              <w:spacing w:before="0" w:after="20" w:line="240" w:lineRule="auto"/>
              <w:jc w:val="center"/>
              <w:keepNext w:val="0"/>
              <w:keepLines/>
              <w:widowControl w:val="1"/>
            </w:pPr>
            <w:r>
              <w:rPr>
                <w:rFonts w:ascii="Times New Roman" w:hAnsi="Times New Roman"/>
                <w:sz w:val="19"/>
              </w:rPr>
              <w:t xml:space="preserve">Sampled nuance attributes</w:t>
            </w:r>
          </w:p>
          <w:p>
            <w:pPr>
              <w:pStyle w:val="SourceCode"/>
              <w:spacing w:before="0" w:after="20" w:line="240" w:lineRule="auto"/>
              <w:jc w:val="center"/>
              <w:keepNext w:val="0"/>
              <w:keepLines/>
              <w:widowControl w:val="1"/>
            </w:pPr>
            <w:r>
              <w:rPr>
                <w:rStyle w:val="VerbatimChar"/>
                <w:rFonts w:ascii="Times New Roman" w:hAnsi="Times New Roman"/>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75"/>
    <w:bookmarkStart w:id="7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Times New Roman" w:hAnsi="Times New Roman"/>
                <w:sz w:val="19"/>
              </w:rPr>
              <w:t xml:space="preserve">You are writing one realistic student course review for research validation.</w:t>
            </w:r>
            <w:r>
              <w:rPr>
                <w:rFonts w:ascii="Times New Roman" w:hAnsi="Times New Roman"/>
                <w:sz w:val="19"/>
              </w:rPr>
              <w:br/>
            </w:r>
            <w:r>
              <w:rPr>
                <w:rStyle w:val="VerbatimChar"/>
                <w:rFonts w:ascii="Times New Roman" w:hAnsi="Times New Roman"/>
                <w:sz w:val="19"/>
              </w:rPr>
              <w:t xml:space="preserve">The review must feel like a naturally written student comment rather than a labeled synthetic sample.</w:t>
            </w:r>
            <w:r>
              <w:rPr>
                <w:rFonts w:ascii="Times New Roman" w:hAnsi="Times New Roman"/>
                <w:sz w:val="19"/>
              </w:rPr>
              <w:br/>
            </w:r>
            <w:r>
              <w:rPr>
                <w:rFonts w:ascii="Times New Roman" w:hAnsi="Times New Roman"/>
                <w:sz w:val="19"/>
              </w:rPr>
              <w:br/>
            </w:r>
            <w:r>
              <w:rPr>
                <w:rStyle w:val="VerbatimChar"/>
                <w:rFonts w:ascii="Times New Roman" w:hAnsi="Times New Roman"/>
                <w:sz w:val="19"/>
              </w:rPr>
              <w:t xml:space="preserve">Target aspect sentiments:</w:t>
            </w:r>
            <w:r>
              <w:rPr>
                <w:rFonts w:ascii="Times New Roman" w:hAnsi="Times New Roman"/>
                <w:sz w:val="19"/>
              </w:rPr>
              <w:br/>
            </w:r>
            <w:r>
              <w:rPr>
                <w:rStyle w:val="VerbatimChar"/>
                <w:rFonts w:ascii="Times New Roman" w:hAnsi="Times New Roman"/>
                <w:sz w:val="19"/>
              </w:rPr>
              <w:t xml:space="preserve">{aspect_block}</w:t>
            </w:r>
            <w:r>
              <w:rPr>
                <w:rFonts w:ascii="Times New Roman" w:hAnsi="Times New Roman"/>
                <w:sz w:val="19"/>
              </w:rPr>
              <w:br/>
            </w:r>
            <w:r>
              <w:rPr>
                <w:rFonts w:ascii="Times New Roman" w:hAnsi="Times New Roman"/>
                <w:sz w:val="19"/>
              </w:rPr>
              <w:br/>
            </w:r>
            <w:r>
              <w:rPr>
                <w:rStyle w:val="VerbatimChar"/>
                <w:rFonts w:ascii="Times New Roman" w:hAnsi="Times New Roman"/>
                <w:sz w:val="19"/>
              </w:rPr>
              <w:t xml:space="preserve">Target attributes:</w:t>
            </w:r>
            <w:r>
              <w:rPr>
                <w:rFonts w:ascii="Times New Roman" w:hAnsi="Times New Roman"/>
                <w:sz w:val="19"/>
              </w:rPr>
              <w:br/>
            </w:r>
            <w:r>
              <w:rPr>
                <w:rStyle w:val="VerbatimChar"/>
                <w:rFonts w:ascii="Times New Roman" w:hAnsi="Times New Roman"/>
                <w:sz w:val="19"/>
              </w:rPr>
              <w:t xml:space="preserve">{attribute_block}</w:t>
            </w:r>
            <w:r>
              <w:rPr>
                <w:rFonts w:ascii="Times New Roman" w:hAnsi="Times New Roman"/>
                <w:sz w:val="19"/>
              </w:rPr>
              <w:br/>
            </w:r>
            <w:r>
              <w:rPr>
                <w:rFonts w:ascii="Times New Roman" w:hAnsi="Times New Roman"/>
                <w:sz w:val="19"/>
              </w:rPr>
              <w:br/>
            </w:r>
            <w:r>
              <w:rPr>
                <w:rStyle w:val="VerbatimChar"/>
                <w:rFonts w:ascii="Times New Roman" w:hAnsi="Times New Roman"/>
                <w:sz w:val="19"/>
              </w:rPr>
              <w:t xml:space="preserve">Requirements:</w:t>
            </w:r>
            <w:r>
              <w:rPr>
                <w:rFonts w:ascii="Times New Roman" w:hAnsi="Times New Roman"/>
                <w:sz w:val="19"/>
              </w:rPr>
              <w:br/>
            </w:r>
            <w:r>
              <w:rPr>
                <w:rStyle w:val="VerbatimChar"/>
                <w:rFonts w:ascii="Times New Roman" w:hAnsi="Times New Roman"/>
                <w:sz w:val="19"/>
              </w:rPr>
              <w:t xml:space="preserve">- Keep the review first-person and specific.</w:t>
            </w:r>
            <w:r>
              <w:rPr>
                <w:rFonts w:ascii="Times New Roman" w:hAnsi="Times New Roman"/>
                <w:sz w:val="19"/>
              </w:rPr>
              <w:br/>
            </w:r>
            <w:r>
              <w:rPr>
                <w:rStyle w:val="VerbatimChar"/>
                <w:rFonts w:ascii="Times New Roman" w:hAnsi="Times New Roman"/>
                <w:sz w:val="19"/>
              </w:rPr>
              <w:t xml:space="preserve">- Do not mention aspect labels or sentiment labels explicitly.</w:t>
            </w:r>
            <w:r>
              <w:rPr>
                <w:rFonts w:ascii="Times New Roman" w:hAnsi="Times New Roman"/>
                <w:sz w:val="19"/>
              </w:rPr>
              <w:br/>
            </w:r>
            <w:r>
              <w:rPr>
                <w:rStyle w:val="VerbatimChar"/>
                <w:rFonts w:ascii="Times New Roman" w:hAnsi="Times New Roman"/>
                <w:sz w:val="19"/>
              </w:rPr>
              <w:t xml:space="preserve">- Do not force a tidy conclusion.</w:t>
            </w:r>
            <w:r>
              <w:rPr>
                <w:rFonts w:ascii="Times New Roman" w:hAnsi="Times New Roman"/>
                <w:sz w:val="19"/>
              </w:rPr>
              <w:br/>
            </w:r>
            <w:r>
              <w:rPr>
                <w:rStyle w:val="VerbatimChar"/>
                <w:rFonts w:ascii="Times New Roman" w:hAnsi="Times New Roman"/>
                <w:sz w:val="19"/>
              </w:rPr>
              <w:t xml:space="preserve">- Do not cover every aspect with the same level of detail.</w:t>
            </w:r>
            <w:r>
              <w:rPr>
                <w:rFonts w:ascii="Times New Roman" w:hAnsi="Times New Roman"/>
                <w:sz w:val="19"/>
              </w:rPr>
              <w:br/>
            </w:r>
            <w:r>
              <w:rPr>
                <w:rStyle w:val="VerbatimChar"/>
                <w:rFonts w:ascii="Times New Roman" w:hAnsi="Times New Roman"/>
                <w:sz w:val="19"/>
              </w:rPr>
              <w:t xml:space="preserve">- Let at least one point feel incidental rather than checklist-driven.</w:t>
            </w:r>
            <w:r>
              <w:rPr>
                <w:rFonts w:ascii="Times New Roman" w:hAnsi="Times New Roman"/>
                <w:sz w:val="19"/>
              </w:rPr>
              <w:br/>
            </w:r>
            <w:r>
              <w:rPr>
                <w:rStyle w:val="VerbatimChar"/>
                <w:rFonts w:ascii="Times New Roman" w:hAnsi="Times New Roman"/>
                <w:sz w:val="19"/>
              </w:rPr>
              <w:t xml:space="preserve">- Preserve mixed feelings when the attributes imply them.</w:t>
            </w:r>
            <w:r>
              <w:rPr>
                <w:rFonts w:ascii="Times New Roman" w:hAnsi="Times New Roman"/>
                <w:sz w:val="19"/>
              </w:rPr>
              <w:br/>
            </w:r>
            <w:r>
              <w:rPr>
                <w:rStyle w:val="VerbatimChar"/>
                <w:rFonts w:ascii="Times New Roman" w:hAnsi="Times New Roman"/>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Times New Roman" w:hAnsi="Times New Roman"/>
                <w:sz w:val="19"/>
              </w:rPr>
              <w:br/>
            </w:r>
            <w:r>
              <w:rPr>
                <w:rFonts w:ascii="Times New Roman" w:hAnsi="Times New Roman"/>
                <w:sz w:val="19"/>
              </w:rPr>
              <w:br/>
            </w:r>
            <w:r>
              <w:rPr>
                <w:rStyle w:val="VerbatimChar"/>
                <w:rFonts w:ascii="Times New Roman" w:hAnsi="Times New Roman"/>
                <w:sz w:val="19"/>
              </w:rPr>
              <w:t xml:space="preserve">Return only the review text.</w:t>
            </w:r>
          </w:p>
        </w:tc>
      </w:tr>
    </w:tbl>
    <w:bookmarkEnd w:id="76"/>
    <w:bookmarkStart w:id="7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bl>
    <w:bookmarkEnd w:id="77"/>
    <w:bookmarkStart w:id="8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79" name="Picture"/>
            <a:graphic>
              <a:graphicData uri="http://schemas.openxmlformats.org/drawingml/2006/picture">
                <pic:pic>
                  <pic:nvPicPr>
                    <pic:cNvPr descr="C:/Users/apart/AppData/Local/Temp/html2doc_svg_M1DYUP/svg_10.png" id="80" name="Picture"/>
                    <pic:cNvPicPr>
                      <a:picLocks noChangeArrowheads="1" noChangeAspect="1"/>
                    </pic:cNvPicPr>
                  </pic:nvPicPr>
                  <pic:blipFill>
                    <a:blip r:embed="rId7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81"/>
    <w:bookmarkStart w:id="8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Tests whether broader example diversity changes the precision-recall trade-off.</w:t>
            </w:r>
          </w:p>
        </w:tc>
      </w:tr>
    </w:tbl>
    <w:bookmarkEnd w:id="82"/>
    <w:bookmarkStart w:id="8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84" name="Picture"/>
            <a:graphic>
              <a:graphicData uri="http://schemas.openxmlformats.org/drawingml/2006/picture">
                <pic:pic>
                  <pic:nvPicPr>
                    <pic:cNvPr descr="C:/Users/apart/AppData/Local/Temp/html2doc_svg_M1DYUP/svg_11.png" id="85" name="Picture"/>
                    <pic:cNvPicPr>
                      <a:picLocks noChangeArrowheads="1" noChangeAspect="1"/>
                    </pic:cNvPicPr>
                  </pic:nvPicPr>
                  <pic:blipFill>
                    <a:blip r:embed="rId8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86"/>
    <w:bookmarkStart w:id="8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0.2800</w:t>
            </w:r>
          </w:p>
        </w:tc>
      </w:tr>
    </w:tbl>
    <w:bookmarkEnd w:id="87"/>
    <w:bookmarkStart w:id="9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89" name="Picture"/>
            <a:graphic>
              <a:graphicData uri="http://schemas.openxmlformats.org/drawingml/2006/picture">
                <pic:pic>
                  <pic:nvPicPr>
                    <pic:cNvPr descr="C:/Users/apart/AppData/Local/Temp/html2doc_svg_M1DYUP/svg_12.png" id="90" name="Picture"/>
                    <pic:cNvPicPr>
                      <a:picLocks noChangeArrowheads="1" noChangeAspect="1"/>
                    </pic:cNvPicPr>
                  </pic:nvPicPr>
                  <pic:blipFill>
                    <a:blip r:embed="rId8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92" name="Picture"/>
            <a:graphic>
              <a:graphicData uri="http://schemas.openxmlformats.org/drawingml/2006/picture">
                <pic:pic>
                  <pic:nvPicPr>
                    <pic:cNvPr descr="C:/Users/apart/AppData/Local/Temp/html2doc_svg_M1DYUP/svg_13.png" id="93" name="Picture"/>
                    <pic:cNvPicPr>
                      <a:picLocks noChangeArrowheads="1" noChangeAspect="1"/>
                    </pic:cNvPicPr>
                  </pic:nvPicPr>
                  <pic:blipFill>
                    <a:blip r:embed="rId9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+0.0195</w:t>
            </w:r>
          </w:p>
        </w:tc>
      </w:tr>
    </w:tbl>
    <w:bookmarkEnd w:id="94"/>
    <w:bookmarkStart w:id="9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r>
              <w:rPr>
                <w:rFonts w:ascii="Times New Roman" w:hAnsi="Times New Roman"/>
                <w:sz w:val="18"/>
              </w:rPr>
              <w:t xml:space="preserve"> </w:t>
            </w:r>
            <w:r>
              <w:rPr>
                <w:rFonts w:ascii="Times New Roman" w:hAnsi="Times New Roman"/>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r>
              <w:rPr>
                <w:rFonts w:ascii="Times New Roman" w:hAnsi="Times New Roman"/>
                <w:sz w:val="18"/>
              </w:rPr>
              <w:t xml:space="preserve"> </w:t>
            </w:r>
            <w:r>
              <w:rPr>
                <w:rFonts w:ascii="Times New Roman" w:hAnsi="Times New Roman"/>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r>
              <w:rPr>
                <w:rFonts w:ascii="Times New Roman" w:hAnsi="Times New Roman"/>
                <w:sz w:val="18"/>
              </w:rPr>
              <w:t xml:space="preserve"> </w:t>
            </w:r>
            <w:r>
              <w:rPr>
                <w:rFonts w:ascii="Times New Roman" w:hAnsi="Times New Roman"/>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gpt-5.2</w:t>
            </w:r>
            <w:r>
              <w:rPr>
                <w:rFonts w:ascii="Times New Roman" w:hAnsi="Times New Roman"/>
                <w:sz w:val="18"/>
              </w:rPr>
              <w:t xml:space="preserve"> </w:t>
            </w:r>
            <w:r>
              <w:rPr>
                <w:rFonts w:ascii="Times New Roman" w:hAnsi="Times New Roman"/>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0.7019</w:t>
            </w:r>
          </w:p>
        </w:tc>
      </w:tr>
    </w:tbl>
    <w:bookmarkEnd w:id="95"/>
    <w:bookmarkEnd w:id="96"/>
    <w:bookmarkStart w:id="127"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7">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8">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9">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0">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1">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2">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3">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4">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5">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6">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7">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8">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9">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0">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1">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2">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3">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4">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5">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6">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7">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8">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9">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0">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1">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2">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3">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4">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5">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6">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2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8" Type="http://schemas.openxmlformats.org/officeDocument/2006/relationships/image" Target="media/rId18.png"/><Relationship Id="rId78" Type="http://schemas.openxmlformats.org/officeDocument/2006/relationships/image" Target="media/rId78.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 Id="rId30" Type="http://schemas.openxmlformats.org/officeDocument/2006/relationships/image" Target="media/rId30.png"/><Relationship Id="rId36" Type="http://schemas.openxmlformats.org/officeDocument/2006/relationships/image" Target="media/rId36.png"/><Relationship Id="rId39" Type="http://schemas.openxmlformats.org/officeDocument/2006/relationships/image" Target="media/rId39.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56" Type="http://schemas.openxmlformats.org/officeDocument/2006/relationships/image" Target="media/rId56.png"/><Relationship Id="rId63" Type="http://schemas.openxmlformats.org/officeDocument/2006/relationships/image" Target="media/rId63.png"/><Relationship Id="rId110" Type="http://schemas.openxmlformats.org/officeDocument/2006/relationships/hyperlink" Target="https://aclanthology.org/2021.acl-long.188/" TargetMode="External"/><Relationship Id="rId109" Type="http://schemas.openxmlformats.org/officeDocument/2006/relationships/hyperlink" Target="https://aclanthology.org/2021.eacl-main.20/" TargetMode="External"/><Relationship Id="rId111" Type="http://schemas.openxmlformats.org/officeDocument/2006/relationships/hyperlink" Target="https://aclanthology.org/2021.emnlp-main.361/" TargetMode="External"/><Relationship Id="rId108" Type="http://schemas.openxmlformats.org/officeDocument/2006/relationships/hyperlink" Target="https://aclanthology.org/2021.emnlp-main.362/" TargetMode="External"/><Relationship Id="rId121" Type="http://schemas.openxmlformats.org/officeDocument/2006/relationships/hyperlink" Target="https://aclanthology.org/2021.findings-acl.84/" TargetMode="External"/><Relationship Id="rId107" Type="http://schemas.openxmlformats.org/officeDocument/2006/relationships/hyperlink" Target="https://aclanthology.org/2022.lrec-1.219/" TargetMode="External"/><Relationship Id="rId123" Type="http://schemas.openxmlformats.org/officeDocument/2006/relationships/hyperlink" Target="https://aclanthology.org/2023.acl-long.754/" TargetMode="External"/><Relationship Id="rId102" Type="http://schemas.openxmlformats.org/officeDocument/2006/relationships/hyperlink" Target="https://aclanthology.org/2023.emnlp-main.647/" TargetMode="External"/><Relationship Id="rId101" Type="http://schemas.openxmlformats.org/officeDocument/2006/relationships/hyperlink" Target="https://aclanthology.org/2023.findings-acl.612/" TargetMode="External"/><Relationship Id="rId124" Type="http://schemas.openxmlformats.org/officeDocument/2006/relationships/hyperlink" Target="https://aclanthology.org/2023.wassa-1.3/" TargetMode="External"/><Relationship Id="rId125" Type="http://schemas.openxmlformats.org/officeDocument/2006/relationships/hyperlink" Target="https://aclanthology.org/2024.eacl-long.167/" TargetMode="External"/><Relationship Id="rId126" Type="http://schemas.openxmlformats.org/officeDocument/2006/relationships/hyperlink" Target="https://aclanthology.org/2024.findings-naacl.246/" TargetMode="External"/><Relationship Id="rId115" Type="http://schemas.openxmlformats.org/officeDocument/2006/relationships/hyperlink" Target="https://aclanthology.org/2024.lrec-main.879/" TargetMode="External"/><Relationship Id="rId103" Type="http://schemas.openxmlformats.org/officeDocument/2006/relationships/hyperlink" Target="https://aclanthology.org/C16-1233/" TargetMode="External"/><Relationship Id="rId104" Type="http://schemas.openxmlformats.org/officeDocument/2006/relationships/hyperlink" Target="https://aclanthology.org/L18-1425/" TargetMode="External"/><Relationship Id="rId100" Type="http://schemas.openxmlformats.org/officeDocument/2006/relationships/hyperlink" Target="https://aclanthology.org/N19-1423/" TargetMode="External"/><Relationship Id="rId98" Type="http://schemas.openxmlformats.org/officeDocument/2006/relationships/hyperlink" Target="https://aclanthology.org/S14-2004/" TargetMode="External"/><Relationship Id="rId99" Type="http://schemas.openxmlformats.org/officeDocument/2006/relationships/hyperlink" Target="https://aclanthology.org/S16-1002/" TargetMode="External"/><Relationship Id="rId120" Type="http://schemas.openxmlformats.org/officeDocument/2006/relationships/hyperlink" Target="https://doi.org/10.1016/j.compedu.2020.103965" TargetMode="External"/><Relationship Id="rId113" Type="http://schemas.openxmlformats.org/officeDocument/2006/relationships/hyperlink" Target="https://doi.org/10.1016/j.nlp.2022.100003" TargetMode="External"/><Relationship Id="rId112" Type="http://schemas.openxmlformats.org/officeDocument/2006/relationships/hyperlink" Target="https://doi.org/10.1016/j.stueduc.2021.100979" TargetMode="External"/><Relationship Id="rId114" Type="http://schemas.openxmlformats.org/officeDocument/2006/relationships/hyperlink" Target="https://doi.org/10.1016/j.stueduc.2024.101406" TargetMode="External"/><Relationship Id="rId117" Type="http://schemas.openxmlformats.org/officeDocument/2006/relationships/hyperlink" Target="https://doi.org/10.1080/02602938.2018.1463354" TargetMode="External"/><Relationship Id="rId118" Type="http://schemas.openxmlformats.org/officeDocument/2006/relationships/hyperlink" Target="https://doi.org/10.1080/07294360.2019.1657807" TargetMode="External"/><Relationship Id="rId105" Type="http://schemas.openxmlformats.org/officeDocument/2006/relationships/hyperlink" Target="https://doi.org/10.1108/EL-06-2019-0140" TargetMode="External"/><Relationship Id="rId106" Type="http://schemas.openxmlformats.org/officeDocument/2006/relationships/hyperlink" Target="https://doi.org/10.1109/ACCESS.2022.3177752" TargetMode="External"/><Relationship Id="rId119" Type="http://schemas.openxmlformats.org/officeDocument/2006/relationships/hyperlink" Target="https://doi.org/10.1186/s41039-018-0073-0" TargetMode="External"/><Relationship Id="rId116" Type="http://schemas.openxmlformats.org/officeDocument/2006/relationships/hyperlink" Target="https://doi.org/10.3102/003465430298487" TargetMode="External"/><Relationship Id="rId122" Type="http://schemas.openxmlformats.org/officeDocument/2006/relationships/hyperlink" Target="https://proceedings.neurips.cc/paper_files/paper/2022/hash/0346c148ba1c21c6b4780a961ea141dc-Abstract-Conference.html" TargetMode="External"/><Relationship Id="rId97"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0" Type="http://schemas.openxmlformats.org/officeDocument/2006/relationships/hyperlink" Target="https://aclanthology.org/2021.acl-long.188/" TargetMode="External"/><Relationship Id="rId109" Type="http://schemas.openxmlformats.org/officeDocument/2006/relationships/hyperlink" Target="https://aclanthology.org/2021.eacl-main.20/" TargetMode="External"/><Relationship Id="rId111" Type="http://schemas.openxmlformats.org/officeDocument/2006/relationships/hyperlink" Target="https://aclanthology.org/2021.emnlp-main.361/" TargetMode="External"/><Relationship Id="rId108" Type="http://schemas.openxmlformats.org/officeDocument/2006/relationships/hyperlink" Target="https://aclanthology.org/2021.emnlp-main.362/" TargetMode="External"/><Relationship Id="rId121" Type="http://schemas.openxmlformats.org/officeDocument/2006/relationships/hyperlink" Target="https://aclanthology.org/2021.findings-acl.84/" TargetMode="External"/><Relationship Id="rId107" Type="http://schemas.openxmlformats.org/officeDocument/2006/relationships/hyperlink" Target="https://aclanthology.org/2022.lrec-1.219/" TargetMode="External"/><Relationship Id="rId123" Type="http://schemas.openxmlformats.org/officeDocument/2006/relationships/hyperlink" Target="https://aclanthology.org/2023.acl-long.754/" TargetMode="External"/><Relationship Id="rId102" Type="http://schemas.openxmlformats.org/officeDocument/2006/relationships/hyperlink" Target="https://aclanthology.org/2023.emnlp-main.647/" TargetMode="External"/><Relationship Id="rId101" Type="http://schemas.openxmlformats.org/officeDocument/2006/relationships/hyperlink" Target="https://aclanthology.org/2023.findings-acl.612/" TargetMode="External"/><Relationship Id="rId124" Type="http://schemas.openxmlformats.org/officeDocument/2006/relationships/hyperlink" Target="https://aclanthology.org/2023.wassa-1.3/" TargetMode="External"/><Relationship Id="rId125" Type="http://schemas.openxmlformats.org/officeDocument/2006/relationships/hyperlink" Target="https://aclanthology.org/2024.eacl-long.167/" TargetMode="External"/><Relationship Id="rId126" Type="http://schemas.openxmlformats.org/officeDocument/2006/relationships/hyperlink" Target="https://aclanthology.org/2024.findings-naacl.246/" TargetMode="External"/><Relationship Id="rId115" Type="http://schemas.openxmlformats.org/officeDocument/2006/relationships/hyperlink" Target="https://aclanthology.org/2024.lrec-main.879/" TargetMode="External"/><Relationship Id="rId103" Type="http://schemas.openxmlformats.org/officeDocument/2006/relationships/hyperlink" Target="https://aclanthology.org/C16-1233/" TargetMode="External"/><Relationship Id="rId104" Type="http://schemas.openxmlformats.org/officeDocument/2006/relationships/hyperlink" Target="https://aclanthology.org/L18-1425/" TargetMode="External"/><Relationship Id="rId100" Type="http://schemas.openxmlformats.org/officeDocument/2006/relationships/hyperlink" Target="https://aclanthology.org/N19-1423/" TargetMode="External"/><Relationship Id="rId98" Type="http://schemas.openxmlformats.org/officeDocument/2006/relationships/hyperlink" Target="https://aclanthology.org/S14-2004/" TargetMode="External"/><Relationship Id="rId99" Type="http://schemas.openxmlformats.org/officeDocument/2006/relationships/hyperlink" Target="https://aclanthology.org/S16-1002/" TargetMode="External"/><Relationship Id="rId120" Type="http://schemas.openxmlformats.org/officeDocument/2006/relationships/hyperlink" Target="https://doi.org/10.1016/j.compedu.2020.103965" TargetMode="External"/><Relationship Id="rId113" Type="http://schemas.openxmlformats.org/officeDocument/2006/relationships/hyperlink" Target="https://doi.org/10.1016/j.nlp.2022.100003" TargetMode="External"/><Relationship Id="rId112" Type="http://schemas.openxmlformats.org/officeDocument/2006/relationships/hyperlink" Target="https://doi.org/10.1016/j.stueduc.2021.100979" TargetMode="External"/><Relationship Id="rId114" Type="http://schemas.openxmlformats.org/officeDocument/2006/relationships/hyperlink" Target="https://doi.org/10.1016/j.stueduc.2024.101406" TargetMode="External"/><Relationship Id="rId117" Type="http://schemas.openxmlformats.org/officeDocument/2006/relationships/hyperlink" Target="https://doi.org/10.1080/02602938.2018.1463354" TargetMode="External"/><Relationship Id="rId118" Type="http://schemas.openxmlformats.org/officeDocument/2006/relationships/hyperlink" Target="https://doi.org/10.1080/07294360.2019.1657807" TargetMode="External"/><Relationship Id="rId105" Type="http://schemas.openxmlformats.org/officeDocument/2006/relationships/hyperlink" Target="https://doi.org/10.1108/EL-06-2019-0140" TargetMode="External"/><Relationship Id="rId106" Type="http://schemas.openxmlformats.org/officeDocument/2006/relationships/hyperlink" Target="https://doi.org/10.1109/ACCESS.2022.3177752" TargetMode="External"/><Relationship Id="rId119" Type="http://schemas.openxmlformats.org/officeDocument/2006/relationships/hyperlink" Target="https://doi.org/10.1186/s41039-018-0073-0" TargetMode="External"/><Relationship Id="rId116" Type="http://schemas.openxmlformats.org/officeDocument/2006/relationships/hyperlink" Target="https://doi.org/10.3102/003465430298487" TargetMode="External"/><Relationship Id="rId122" Type="http://schemas.openxmlformats.org/officeDocument/2006/relationships/hyperlink" Target="https://proceedings.neurips.cc/paper_files/paper/2022/hash/0346c148ba1c21c6b4780a961ea141dc-Abstract-Conference.html" TargetMode="External"/><Relationship Id="rId97"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2026-06-04T11:27:10Z</dcterms:created>
  <dcterms:modified xsi:type="dcterms:W3CDTF">2026-06-04T11:27:10Z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