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Large language models are increasingly used to synthesize labeled training data where annotation is scarce, but the generated labels are often unfaithful to the text, and it is difficult to tell whether a synthetic benchmark carries genuine learnable signal or merely reproduces label frequencies. We study both problems in educational aspect-based sentiment analysis (ABSA), a setting where real aspect-labeled student feedback is private and expensive to annotate, and we contribute a methodology that applies beyond it. We release a controlled corpus of 10,000 synthetic course reviews over a 20-aspect pedagogical schema, generated by sampling supervision targets separately from nuance attributes so the same aspect labels recur under varied course contexts and writing styles. We then introduce a faithfulness-aware pipeline: a cost-matched LLM audit scores how well each declared label is supported by the text, and that score both filters the training data and is itself cross-checked for reliability across independent judges. Three controls establish that the corpus carries learnable signal rather than label priors: permuting the labels collapses detection to the trivial floor (0.182 versus 0.276 micro-F1), accuracy scales monotonically with training size (0.183 to 0.285), and restricting to faithfully labeled rows raises the ceiling. Evaluated by transfer to real, human-annotated feedback, which is the unbiased metric, faithfulness-aware row filtering lowers transferred sentiment error (paired 95% bootstrap CI excludes zero), a lowest-faithfulness control collapses it, and both effects replicate across two architectures and two real benchmarks (Herath and EduRABSA). Synthetic-only training recovers about 60% of a real-trained model with no real labels, and synthetic pre-training followed by real fine-tuning exceeds real-only training. The audit-filter-validate recipe is a general tool for quality-controlling LLM-supervised data; the corpus and code are released.</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contribution is therefore both a resource and a methodology.</w:t>
      </w:r>
      <w:r>
        <w:t xml:space="preserve"> </w:t>
      </w:r>
      <w:r>
        <w:rPr>
          <w:b/>
          <w:bCs/>
        </w:rPr>
        <w:t xml:space="preserve">The resource is a controlled synthetic educational ABSA corpus whose labels are audited and faithfulness-scored; the methodology is an audit-filter-validate pipeline for LLM-generated supervision: a cost-matched audit measures per-label faithfulness, that score selects training data, and a battery of controls tests whether the resulting benchmark carries genuine signal rather than label frequencies.</w:t>
      </w:r>
      <w:r>
        <w:t xml:space="preserve"> </w:t>
      </w:r>
      <w:r>
        <w:t xml:space="preserve">Although we instantiate and evaluate the pipeline on educational ABSA, where labeled data are unusually scarce, it applies to any task trained on LLM-synthesized labels.</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Controlled synthetic ABSA resource:</w:t>
      </w:r>
      <w:r>
        <w:t xml:space="preserve"> </w:t>
      </w:r>
      <w:r>
        <w:t xml:space="preserve">a released 10,000-review corpus with fixed train/validation/test partitions over a 20-aspect pedagogical schema, generated by separating supervision targets from nuance attributes so the same aspect labels recur under varied course contexts and writing styles rather than collapsing into one prompt pattern.</w:t>
      </w:r>
    </w:p>
    <w:p>
      <w:pPr>
        <w:pStyle w:val="Compact"/>
        <w:numPr>
          <w:ilvl w:val="0"/>
          <w:numId w:val="1001"/>
        </w:numPr>
        <w:ind w:left="360" w:hanging="259"/>
        <w:jc w:val="both"/>
        <w:keepNext w:val="0"/>
        <w:keepLines w:val="0"/>
        <w:widowControl w:val="1"/>
      </w:pPr>
      <w:r>
        <w:rPr>
          <w:b/>
          <w:bCs/>
        </w:rPr>
        <w:t xml:space="preserve">Faithfulness-aware data-quality methodology:</w:t>
      </w:r>
      <w:r>
        <w:t xml:space="preserve"> </w:t>
      </w:r>
      <w:r>
        <w:t xml:space="preserve">a cost-matched LLM audit that scores per-label faithfulness and acts as an actionable training-data filter, with a lowest-faithfulness negative control and replication across two architectures and two real transfer targets, establishing a general recipe for quality-controlling LLM-supervised data, not only this corpus.</w:t>
      </w:r>
    </w:p>
    <w:p>
      <w:pPr>
        <w:pStyle w:val="Compact"/>
        <w:numPr>
          <w:ilvl w:val="0"/>
          <w:numId w:val="1001"/>
        </w:numPr>
        <w:ind w:left="360" w:hanging="259"/>
        <w:jc w:val="both"/>
        <w:keepNext w:val="0"/>
        <w:keepLines w:val="0"/>
        <w:widowControl w:val="1"/>
      </w:pPr>
      <w:r>
        <w:rPr>
          <w:b/>
          <w:bCs/>
        </w:rPr>
        <w:t xml:space="preserve">Signal-validity battery:</w:t>
      </w:r>
      <w:r>
        <w:t xml:space="preserve"> </w:t>
      </w:r>
      <w:r>
        <w:t xml:space="preserve">label-permutation, trivial-floor, learning-curve, and clean-label-ceiling controls that distinguish genuine learnable signal from label frequencies, providing a reusable check that a synthetic benchmark is more than memorized priors.</w:t>
      </w:r>
    </w:p>
    <w:p>
      <w:pPr>
        <w:pStyle w:val="Compact"/>
        <w:numPr>
          <w:ilvl w:val="0"/>
          <w:numId w:val="1001"/>
        </w:numPr>
        <w:ind w:left="360" w:hanging="259"/>
        <w:jc w:val="both"/>
        <w:keepNext w:val="0"/>
        <w:keepLines w:val="0"/>
        <w:widowControl w:val="1"/>
      </w:pPr>
      <w:r>
        <w:rPr>
          <w:b/>
          <w:bCs/>
        </w:rPr>
        <w:t xml:space="preserve">Real-data transfer evidence:</w:t>
      </w:r>
      <w:r>
        <w:t xml:space="preserve"> </w:t>
      </w:r>
      <w:r>
        <w:t xml:space="preserve">on two human-annotated corpora (Herath, EduRABSA), synthetic-only training recovers about 60% of a real-trained model with no real labels, and synthetic pre-training followed by real fine-tuning exceeds real-only training.</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3046095"/>
            <wp:effectExtent b="0" l="0" r="0" t="0"/>
            <wp:docPr descr="Synthetic data generation pipeline" title="" id="15" name="Picture"/>
            <a:graphic>
              <a:graphicData uri="http://schemas.openxmlformats.org/drawingml/2006/picture">
                <pic:pic>
                  <pic:nvPicPr>
                    <pic:cNvPr descr="C:/Users/apart/AppData/Local/Temp/html2doc_svg_njkrGI/svg_0.png" id="16" name="Picture"/>
                    <pic:cNvPicPr>
                      <a:picLocks noChangeArrowheads="1" noChangeAspect="1"/>
                    </pic:cNvPicPr>
                  </pic:nvPicPr>
                  <pic:blipFill>
                    <a:blip r:embed="rId14"/>
                    <a:stretch>
                      <a:fillRect/>
                    </a:stretch>
                  </pic:blipFill>
                  <pic:spPr bwMode="auto">
                    <a:xfrm>
                      <a:off x="0" y="0"/>
                      <a:ext cx="5943600" cy="304609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Supervision targets and contextual attributes are sampled separately, merged through a stabilized prompt, and exported as review-level benchmark records.</w:t>
      </w: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3.</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bookmarkEnd w:id="25"/>
    <w:bookmarkEnd w:id="26"/>
    <w:bookmarkStart w:id="58"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Corpus-scale output-control statistics and the three-cycle realism-validation procedure are generator diagnostics reported in full in the appendix.</w:t>
      </w:r>
    </w:p>
    <w:p>
      <w:pPr>
        <w:pStyle w:val="BodyText"/>
        <w:jc w:val="center"/>
        <w:keepNext/>
        <w:keepLines/>
        <w:widowControl w:val="1"/>
      </w:pPr>
      <w:r>
        <w:drawing>
          <wp:inline>
            <wp:extent cx="5943600" cy="4272623"/>
            <wp:effectExtent b="0" l="0" r="0" t="0"/>
            <wp:docPr descr="Aspect sentiment heatmap" title="" id="28" name="Picture"/>
            <a:graphic>
              <a:graphicData uri="http://schemas.openxmlformats.org/drawingml/2006/picture">
                <pic:pic>
                  <pic:nvPicPr>
                    <pic:cNvPr descr="C:/Users/apart/AppData/Local/Temp/html2doc_svg_njkrGI/svg_1.png" id="29" name="Picture"/>
                    <pic:cNvPicPr>
                      <a:picLocks noChangeArrowheads="1" noChangeAspect="1"/>
                    </pic:cNvPicPr>
                  </pic:nvPicPr>
                  <pic:blipFill>
                    <a:blip r:embed="rId27"/>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31" name="Picture"/>
            <a:graphic>
              <a:graphicData uri="http://schemas.openxmlformats.org/drawingml/2006/picture">
                <pic:pic>
                  <pic:nvPicPr>
                    <pic:cNvPr descr="C:/Users/apart/AppData/Local/Temp/html2doc_svg_njkrGI/svg_2.png" id="32" name="Picture"/>
                    <pic:cNvPicPr>
                      <a:picLocks noChangeArrowheads="1" noChangeAspect="1"/>
                    </pic:cNvPicPr>
                  </pic:nvPicPr>
                  <pic:blipFill>
                    <a:blip r:embed="rId30"/>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Start w:id="33" w:name="X5eb33c01c0cf011bf7399e1ac1b2f733297275e"/>
    <w:p>
      <w:pPr>
        <w:pStyle w:val="Heading3"/>
        <w:keepNext/>
        <w:keepLines/>
        <w:widowControl w:val="1"/>
      </w:pPr>
      <w:r>
        <w:t xml:space="preserve">5.1 Corpus Profile and Representative Examples</w:t>
      </w:r>
    </w:p>
    <w:p>
      <w:pPr>
        <w:pStyle w:val="FirstParagraph"/>
        <w:jc w:val="both"/>
        <w:keepNext w:val="0"/>
        <w:keepLines w:val="0"/>
        <w:widowControl w:val="1"/>
      </w:pPr>
      <w:r>
        <w:t xml:space="preserve">Figure 2 and Figure 3 establish the corpus-level structure before any model results are introduced. Figure 2 shows how label support is distributed across aspects and sentiment polarities, which makes it easier to distinguish heavily represented pedagogical dimensions from thinner parts of the schema. Figure 3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33"/>
    <w:bookmarkStart w:id="34" w:name="scope-of-reported-analyses"/>
    <w:p>
      <w:pPr>
        <w:pStyle w:val="Heading3"/>
        <w:keepNext/>
        <w:keepLines/>
        <w:widowControl w:val="1"/>
      </w:pPr>
      <w:r>
        <w:t xml:space="preserve">5.2 Scope of Reported Analyses</w:t>
      </w:r>
    </w:p>
    <w:p>
      <w:pPr>
        <w:pStyle w:val="TableCaption"/>
        <w:spacing w:before="28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pStyle w:val="BodyText"/>
        <w:spacing w:before="240"/>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34"/>
    <w:bookmarkStart w:id="38" w:name="Xb756ca2b27320c8b9bc4788dcc281a891af5b5f"/>
    <w:p>
      <w:pPr>
        <w:pStyle w:val="Heading3"/>
        <w:keepNext/>
        <w:keepLines/>
        <w:widowControl w:val="1"/>
      </w:pPr>
      <w:r>
        <w:t xml:space="preserve">5.3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micro-F1 at 0.2760 (macro balanced accuracy 0.623, detected-aspect sentiment MSE 0.4959), followed by</w:t>
      </w:r>
      <w:r>
        <w:t xml:space="preserve"> </w:t>
      </w:r>
      <w:r>
        <w:rPr>
          <w:rStyle w:val="VerbatimChar"/>
        </w:rPr>
        <w:t xml:space="preserve">distilbert-base-uncased</w:t>
      </w:r>
      <w:r>
        <w:t xml:space="preserve"> </w:t>
      </w:r>
      <w:r>
        <w:t xml:space="preserve">at 0.2691 (0.621). The joint variants remain competitive but lower, with</w:t>
      </w:r>
      <w:r>
        <w:t xml:space="preserve"> </w:t>
      </w:r>
      <w:r>
        <w:rPr>
          <w:rStyle w:val="VerbatimChar"/>
        </w:rPr>
        <w:t xml:space="preserve">distilbert_joint</w:t>
      </w:r>
      <w:r>
        <w:t xml:space="preserve"> </w:t>
      </w:r>
      <w:r>
        <w:t xml:space="preserve">at 0.2524 and</w:t>
      </w:r>
      <w:r>
        <w:t xml:space="preserve"> </w:t>
      </w:r>
      <w:r>
        <w:rPr>
          <w:rStyle w:val="VerbatimChar"/>
        </w:rPr>
        <w:t xml:space="preserve">bert_joint</w:t>
      </w:r>
      <w:r>
        <w:t xml:space="preserve"> </w:t>
      </w:r>
      <w:r>
        <w:t xml:space="preserve">at 0.2447, which supports the two-step decomposition as the clearest baseline family in this benchmark. Micro-F1 is a deliberately strict operating-point metric here: with one to three aspects per review among twenty mostly-absent labels, the trivial all-present baseline already scores 0.183, so a held-out 0.276 clears chance by a wide margin, and the less compressed macro balanced accuracy near 0.62 is the more representative view of the same detector. We therefore read detection through balanced accuracy and threshold-free ranking (below) alongside F1, not F1 alone.</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7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5.9),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5.9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Three controls establish that this signal is genuine rather than an artifact of label frequencies. First, a label-permutation control, retraining with the text-to-label correspondence destroyed, collapses detection micro-F1 to 0.182 (95% CI [0.177, 0.187]), indistinguishable from the strongest trivial baseline (predict-all-present, 0.183) and 0.094 below the real-label 0.277; the recovered F1 thus comes from text that genuinely predicts the labels. Second, detection scales monotonically with training data, from 0.183 at 250 reviews to 0.285 at 8,000, increasing in every seed with no plateau. Third, the learned model clears every trivial floor (predict-all-present 0.183, predict-by-frequency 0.000, random-at-prevalence 0.101) by at least 0.093. Consistent with the label-noise account, restricting both training and test to faithful rows raises micro-F1 to 0.319 ([0.290, 0.348], +0.043 over the full corpus) at audit row-score 1.0 and 0.340 ([0.332, 0.348], +0.064) at row-score 0.5 or above.</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 threshold-free view confirms the same reading: on the 20-aspect held-out test set the BERT detector reaches a macro AUROC of 0.681 and a micro AUROC of 0.688, with per-aspect AUROC ranging from 0.54 to 0.83 (highest for lexically marked aspects such as</w:t>
      </w:r>
      <w:r>
        <w:t xml:space="preserve"> </w:t>
      </w:r>
      <w:r>
        <w:rPr>
          <w:rStyle w:val="VerbatimChar"/>
        </w:rPr>
        <w:t xml:space="preserve">pacing</w:t>
      </w:r>
      <w:r>
        <w:t xml:space="preserve"> </w:t>
      </w:r>
      <w:r>
        <w:t xml:space="preserve">at 0.83 and</w:t>
      </w:r>
      <w:r>
        <w:t xml:space="preserve"> </w:t>
      </w:r>
      <w:r>
        <w:rPr>
          <w:rStyle w:val="VerbatimChar"/>
        </w:rPr>
        <w:t xml:space="preserve">workload</w:t>
      </w:r>
      <w:r>
        <w:t xml:space="preserve"> </w:t>
      </w:r>
      <w:r>
        <w:t xml:space="preserve">at 0.81). Because AUROC is independent of the decision threshold and therefore of the noisy gold operating point, this shows the detector ranks aspect presence well above chance and that the moderate micro-F1 reflects thresholding and label noise rather than weak representations.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4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5943600" cy="2241927"/>
            <wp:effectExtent b="0" l="0" r="0" t="0"/>
            <wp:docPr descr="Benchmark comparison" title="" id="36" name="Picture"/>
            <a:graphic>
              <a:graphicData uri="http://schemas.openxmlformats.org/drawingml/2006/picture">
                <pic:pic>
                  <pic:nvPicPr>
                    <pic:cNvPr descr="C:/Users/apart/AppData/Local/Temp/html2doc_svg_njkrGI/svg_3.png" id="37" name="Picture"/>
                    <pic:cNvPicPr>
                      <a:picLocks noChangeArrowheads="1" noChangeAspect="1"/>
                    </pic:cNvPicPr>
                  </pic:nvPicPr>
                  <pic:blipFill>
                    <a:blip r:embed="rId35"/>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38"/>
    <w:bookmarkStart w:id="39" w:name="gpt-based-inference-methods"/>
    <w:p>
      <w:pPr>
        <w:pStyle w:val="Heading3"/>
        <w:keepNext/>
        <w:keepLines/>
        <w:widowControl w:val="1"/>
      </w:pPr>
      <w:r>
        <w:t xml:space="preserve">5.4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TableCaption"/>
        <w:spacing w:before="280" w:after="60" w:line="240" w:lineRule="auto"/>
        <w:jc w:val="center"/>
        <w:keepNext/>
        <w:keepLines/>
        <w:widowControl w:val="1"/>
      </w:pPr>
      <w:r>
        <w:rPr>
          <w:b/>
          <w:i/>
        </w:rPr>
        <w:t>Table 8.</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8.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39"/>
    <w:bookmarkStart w:id="43" w:name="per-aspect-behavior-of-the-best-model"/>
    <w:p>
      <w:pPr>
        <w:pStyle w:val="Heading3"/>
        <w:keepNext/>
        <w:keepLines/>
        <w:widowControl w:val="1"/>
      </w:pPr>
      <w:r>
        <w:t xml:space="preserve">5.5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5943600" cy="4255881"/>
            <wp:effectExtent b="0" l="0" r="0" t="0"/>
            <wp:docPr descr="Best-model per-aspect benchmark" title="" id="41" name="Picture"/>
            <a:graphic>
              <a:graphicData uri="http://schemas.openxmlformats.org/drawingml/2006/picture">
                <pic:pic>
                  <pic:nvPicPr>
                    <pic:cNvPr descr="C:/Users/apart/AppData/Local/Temp/html2doc_svg_njkrGI/svg_4.png" id="42" name="Picture"/>
                    <pic:cNvPicPr>
                      <a:picLocks noChangeArrowheads="1" noChangeAspect="1"/>
                    </pic:cNvPicPr>
                  </pic:nvPicPr>
                  <pic:blipFill>
                    <a:blip r:embed="rId40"/>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9.</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9.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bookmarkEnd w:id="43"/>
    <w:bookmarkStart w:id="50" w:name="X0ce3c8ca12618df96c03a79330ef5a35c7801ef"/>
    <w:p>
      <w:pPr>
        <w:pStyle w:val="Heading3"/>
        <w:keepNext/>
        <w:keepLines/>
        <w:widowControl w:val="1"/>
      </w:pPr>
      <w:r>
        <w:t xml:space="preserve">5.6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11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BodyText"/>
        <w:jc w:val="both"/>
        <w:keepNext w:val="0"/>
        <w:keepLines w:val="0"/>
        <w:widowControl w:val="1"/>
      </w:pPr>
      <w:r>
        <w:t xml:space="preserve">The synthetic corpus is moreover a useful initializer, not only a standalone training set. Pretraining the nine-aspect detector on the synthetic corpus and then fine-tuning it on the real-Herath train split reaches micro-F1 0.784 (95% CI [0.758, 0.809], four seeds), above the real-only baseline of 0.767 and far above the synthetic-only transfer of 0.459. Synthetic supervision therefore improves a real-data model rather than merely substituting for one, which is the property that matters for the institutional bootstrapping setting of Section 6.2: a program can pretrain on the shared synthetic corpus and fine-tune on a small adjudicated slice of its own reviews to exceed what either source supports alone.</w:t>
      </w:r>
    </w:p>
    <w:p>
      <w:pPr>
        <w:pStyle w:val="TableCaption"/>
        <w:spacing w:before="280" w:after="60" w:line="240" w:lineRule="auto"/>
        <w:jc w:val="center"/>
        <w:keepNext/>
        <w:keepLines/>
        <w:widowControl w:val="1"/>
      </w:pPr>
      <w:r>
        <w:rPr>
          <w:b/>
          <w:i/>
        </w:rPr>
        <w:t>Table 10.</w:t>
      </w:r>
      <w:r>
        <w:rPr>
          <w:b w:val="0"/>
          <w:i/>
        </w:rPr>
        <w:t xml:space="preserve"> </w:t>
      </w:r>
      <w:r>
        <w:rPr>
          <w:b w:val="0"/>
          <w:i/>
        </w:rPr>
        <w:t>Exact synthetic-to-real transfer scores on the mapped Herath benchmark over the conservative nine-aspect overlap. The table gives the precise model values, while Figure 6 adds the overlap-support context needed to interpret them.</w:t>
      </w:r>
    </w:p>
    <w:tbl>
      <w:tblPr>
        <w:tblStyle w:val="Table"/>
        <w:tblW w:type="pct" w:w="5000"/>
        <w:jc w:val="center"/>
        <w:tblLook w:firstRow="1" w:lastRow="0" w:firstColumn="0" w:lastColumn="0" w:noHBand="0" w:noVBand="0" w:val="0020"/>
        <w:tblCaption w:val="Table 10. Exact synthetic-to-real transfer scores on the mapped Herath benchmark over the conservative nine-aspect overlap. The table gives the precise model values, while Figure 6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45" name="Picture"/>
            <a:graphic>
              <a:graphicData uri="http://schemas.openxmlformats.org/drawingml/2006/picture">
                <pic:pic>
                  <pic:nvPicPr>
                    <pic:cNvPr descr="C:/Users/apart/AppData/Local/Temp/html2doc_svg_njkrGI/svg_5.png" id="46" name="Picture"/>
                    <pic:cNvPicPr>
                      <a:picLocks noChangeArrowheads="1" noChangeAspect="1"/>
                    </pic:cNvPicPr>
                  </pic:nvPicPr>
                  <pic:blipFill>
                    <a:blip r:embed="rId44"/>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10.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48" name="Picture"/>
            <a:graphic>
              <a:graphicData uri="http://schemas.openxmlformats.org/drawingml/2006/picture">
                <pic:pic>
                  <pic:nvPicPr>
                    <pic:cNvPr descr="C:/Users/apart/AppData/Local/Temp/html2doc_svg_njkrGI/svg_6.png" id="49" name="Picture"/>
                    <pic:cNvPicPr>
                      <a:picLocks noChangeArrowheads="1" noChangeAspect="1"/>
                    </pic:cNvPicPr>
                  </pic:nvPicPr>
                  <pic:blipFill>
                    <a:blip r:embed="rId47"/>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80" w:after="60" w:line="240" w:lineRule="auto"/>
        <w:jc w:val="center"/>
        <w:keepNext/>
        <w:keepLines/>
        <w:widowControl w:val="1"/>
      </w:pPr>
      <w:r>
        <w:rPr>
          <w:b/>
          <w:i/>
        </w:rPr>
        <w:t>Table 11.</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11.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
      <w:pPr>
        <w:pStyle w:val="TableCaption"/>
        <w:spacing w:before="280" w:after="60" w:line="240" w:lineRule="auto"/>
        <w:jc w:val="center"/>
        <w:keepNext/>
        <w:keepLines/>
        <w:widowControl w:val="1"/>
      </w:pPr>
      <w:r>
        <w:rPr>
          <w:b/>
          <w:i/>
        </w:rPr>
        <w:t>Table 12.</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12.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12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0"/>
    <w:bookmarkStart w:id="51" w:name="corpus-scale-generation-diagnostics"/>
    <w:p>
      <w:pPr>
        <w:pStyle w:val="Heading3"/>
        <w:keepNext/>
        <w:keepLines/>
        <w:widowControl w:val="1"/>
      </w:pPr>
      <w:r>
        <w:t xml:space="preserve">5.7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procedure (Appendix A.13) are reported separately as generator diagnostics.</w:t>
      </w:r>
    </w:p>
    <w:bookmarkEnd w:id="51"/>
    <w:bookmarkStart w:id="52" w:name="model-assisted-label-faithfulness-audit"/>
    <w:p>
      <w:pPr>
        <w:pStyle w:val="Heading3"/>
        <w:keepNext/>
        <w:keepLines/>
        <w:widowControl w:val="1"/>
      </w:pPr>
      <w:r>
        <w:t xml:space="preserve">5.8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pStyle w:val="TableCaption"/>
        <w:spacing w:before="280" w:after="60" w:line="240" w:lineRule="auto"/>
        <w:jc w:val="center"/>
        <w:keepNext/>
        <w:keepLines/>
        <w:widowControl w:val="1"/>
      </w:pPr>
      <w:r>
        <w:rPr>
          <w:b/>
          <w:i/>
        </w:rPr>
        <w:t>Table 13.</w:t>
      </w:r>
      <w:r>
        <w:rPr>
          <w:b w:val="0"/>
          <w:i/>
        </w:rPr>
        <w:t xml:space="preserve"> </w:t>
      </w:r>
      <w:r>
        <w:rPr>
          <w:b w:val="0"/>
          <w:i/>
        </w:rPr>
        <w:t>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13.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2"/>
    <w:bookmarkStart w:id="56" w:name="Xec374fd6700b55291d88c543fc650e2ccca6775"/>
    <w:p>
      <w:pPr>
        <w:pStyle w:val="Heading3"/>
        <w:keepNext/>
        <w:keepLines/>
        <w:widowControl w:val="1"/>
      </w:pPr>
      <w:r>
        <w:t xml:space="preserve">5.9 Faithfulness-Aware Filtering of the Training Corpus</w:t>
      </w:r>
    </w:p>
    <w:p>
      <w:pPr>
        <w:pStyle w:val="FirstParagraph"/>
        <w:jc w:val="both"/>
        <w:keepNext w:val="0"/>
        <w:keepLines w:val="0"/>
        <w:widowControl w:val="1"/>
      </w:pPr>
      <w:r>
        <w:t xml:space="preserve">The 250-row audit in Section 5.8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5.3 recipe and evaluated each resulting model on two transfer targets: the same 9-aspect mapped Herath benchmark used in Section 5.6,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TableCaption"/>
        <w:spacing w:before="280" w:after="60" w:line="240" w:lineRule="auto"/>
        <w:jc w:val="center"/>
        <w:keepNext/>
        <w:keepLines/>
        <w:widowControl w:val="1"/>
      </w:pPr>
      <w:r>
        <w:rPr>
          <w:b/>
          <w:i/>
        </w:rPr>
        <w:t>Table 14.</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4.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pStyle w:val="BodyText"/>
        <w:spacing w:before="240"/>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pStyle w:val="TableCaption"/>
        <w:spacing w:before="280" w:after="60" w:line="240" w:lineRule="auto"/>
        <w:jc w:val="center"/>
        <w:keepNext/>
        <w:keepLines/>
        <w:widowControl w:val="1"/>
      </w:pPr>
      <w:r>
        <w:rPr>
          <w:b/>
          <w:i/>
        </w:rPr>
        <w:t>Table 15.</w:t>
      </w:r>
      <w:r>
        <w:rPr>
          <w:b w:val="0"/>
          <w:i/>
        </w:rPr>
        <w:t xml:space="preserve"> </w:t>
      </w:r>
      <w:r>
        <w:rPr>
          <w:b w:val="0"/>
          <w:i/>
        </w:rPr>
        <w:t>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5. 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pStyle w:val="BodyText"/>
        <w:jc w:val="center"/>
        <w:keepNext/>
        <w:keepLines/>
        <w:widowControl w:val="1"/>
      </w:pPr>
      <w:r>
        <w:drawing>
          <wp:inline>
            <wp:extent cx="5943600" cy="4052454"/>
            <wp:effectExtent b="0" l="0" r="0" t="0"/>
            <wp:docPr descr="Faithfulness-aware filtering reduces sentiment-polarity error across two architectures and two transfer targets" title="" id="54" name="Picture"/>
            <a:graphic>
              <a:graphicData uri="http://schemas.openxmlformats.org/drawingml/2006/picture">
                <pic:pic>
                  <pic:nvPicPr>
                    <pic:cNvPr descr="C:/Users/apart/AppData/Local/Temp/html2doc_svg_njkrGI/svg_7.png" id="55" name="Picture"/>
                    <pic:cNvPicPr>
                      <a:picLocks noChangeArrowheads="1" noChangeAspect="1"/>
                    </pic:cNvPicPr>
                  </pic:nvPicPr>
                  <pic:blipFill>
                    <a:blip r:embed="rId53"/>
                    <a:stretch>
                      <a:fillRect/>
                    </a:stretch>
                  </pic:blipFill>
                  <pic:spPr bwMode="auto">
                    <a:xfrm>
                      <a:off x="0" y="0"/>
                      <a:ext cx="5943600" cy="4052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Practically, the result is that the audit score in Section 5.8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human re-annotation of the audit is the natural next validation step.</w:t>
      </w:r>
    </w:p>
    <w:bookmarkEnd w:id="56"/>
    <w:bookmarkStart w:id="57" w:name="overall-interpretation"/>
    <w:p>
      <w:pPr>
        <w:pStyle w:val="Heading3"/>
        <w:keepNext/>
        <w:keepLines/>
        <w:widowControl w:val="1"/>
      </w:pPr>
      <w:r>
        <w:t xml:space="preserve">5.10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57"/>
    <w:bookmarkEnd w:id="58"/>
    <w:bookmarkStart w:id="62"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59"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and label-faithfulness analyses are conducted with LLM judges: realism improves prompt quality without establishing statistical indistinguishability from real reviews, and faithfulness is bounded by cross-provider judge agreement and by the behavioral negative control rather than by human labels, so human re-annotation of both is the natural next validation. Third, the 10K dataset is usable but not perfectly controlled, because a nontrivial share of rows reached the output-token cap and weakened length-band adherence at scale. Fourth, downstream training on the 10K corpus benefits from the Section 5.9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59"/>
    <w:bookmarkStart w:id="60"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5.9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0"/>
    <w:bookmarkStart w:id="61"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1"/>
    <w:bookmarkEnd w:id="62"/>
    <w:bookmarkStart w:id="63"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63"/>
    <w:bookmarkStart w:id="93" w:name="appendix"/>
    <w:p>
      <w:pPr>
        <w:pStyle w:val="Heading2"/>
        <w:keepNext/>
        <w:keepLines/>
        <w:widowControl w:val="1"/>
      </w:pPr>
      <w:r>
        <w:t xml:space="preserve">Appendix</w:t>
      </w:r>
    </w:p>
    <w:bookmarkStart w:id="6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bookmarkEnd w:id="64"/>
    <w:bookmarkStart w:id="6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65"/>
    <w:bookmarkStart w:id="6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bookmarkEnd w:id="66"/>
    <w:bookmarkStart w:id="6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6.</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bookmarkEnd w:id="67"/>
    <w:bookmarkStart w:id="7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69" name="Picture"/>
            <a:graphic>
              <a:graphicData uri="http://schemas.openxmlformats.org/drawingml/2006/picture">
                <pic:pic>
                  <pic:nvPicPr>
                    <pic:cNvPr descr="C:/Users/apart/AppData/Local/Temp/html2doc_svg_njkrGI/svg_8.png" id="70" name="Picture"/>
                    <pic:cNvPicPr>
                      <a:picLocks noChangeArrowheads="1" noChangeAspect="1"/>
                    </pic:cNvPicPr>
                  </pic:nvPicPr>
                  <pic:blipFill>
                    <a:blip r:embed="rId68"/>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1"/>
    <w:bookmarkStart w:id="7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8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8.</w:t>
      </w:r>
    </w:p>
    <w:tbl>
      <w:tblPr>
        <w:tblStyle w:val="Table"/>
        <w:tblW w:type="pct" w:w="5000"/>
        <w:jc w:val="center"/>
        <w:tblLook w:firstRow="1" w:lastRow="0" w:firstColumn="0" w:lastColumn="0" w:noHBand="0" w:noVBand="0" w:val="0020"/>
        <w:tblCaption w:val="Table A5. Configuration details for the GPT-based inference methods reported in Tabl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bookmarkEnd w:id="72"/>
    <w:bookmarkStart w:id="7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5943600" cy="3850017"/>
            <wp:effectExtent b="0" l="0" r="0" t="0"/>
            <wp:docPr descr="Aspect count distribution in the pilot validation subset" title="" id="74" name="Picture"/>
            <a:graphic>
              <a:graphicData uri="http://schemas.openxmlformats.org/drawingml/2006/picture">
                <pic:pic>
                  <pic:nvPicPr>
                    <pic:cNvPr descr="C:/Users/apart/AppData/Local/Temp/html2doc_svg_njkrGI/svg_9.png" id="75" name="Picture"/>
                    <pic:cNvPicPr>
                      <a:picLocks noChangeArrowheads="1" noChangeAspect="1"/>
                    </pic:cNvPicPr>
                  </pic:nvPicPr>
                  <pic:blipFill>
                    <a:blip r:embed="rId73"/>
                    <a:stretch>
                      <a:fillRect/>
                    </a:stretch>
                  </pic:blipFill>
                  <pic:spPr bwMode="auto">
                    <a:xfrm>
                      <a:off x="0" y="0"/>
                      <a:ext cx="5943600" cy="38500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76"/>
    <w:bookmarkStart w:id="7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bookmarkEnd w:id="77"/>
    <w:bookmarkStart w:id="8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5.3.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5943600" cy="3139327"/>
            <wp:effectExtent b="0" l="0" r="0" t="0"/>
            <wp:docPr descr="Seed stability across the strongest local models" title="" id="79" name="Picture"/>
            <a:graphic>
              <a:graphicData uri="http://schemas.openxmlformats.org/drawingml/2006/picture">
                <pic:pic>
                  <pic:nvPicPr>
                    <pic:cNvPr descr="C:/Users/apart/AppData/Local/Temp/html2doc_svg_njkrGI/svg_10.png" id="80" name="Picture"/>
                    <pic:cNvPicPr>
                      <a:picLocks noChangeArrowheads="1" noChangeAspect="1"/>
                    </pic:cNvPicPr>
                  </pic:nvPicPr>
                  <pic:blipFill>
                    <a:blip r:embed="rId78"/>
                    <a:stretch>
                      <a:fillRect/>
                    </a:stretch>
                  </pic:blipFill>
                  <pic:spPr bwMode="auto">
                    <a:xfrm>
                      <a:off x="0" y="0"/>
                      <a:ext cx="5943600" cy="31393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82" name="Picture"/>
            <a:graphic>
              <a:graphicData uri="http://schemas.openxmlformats.org/drawingml/2006/picture">
                <pic:pic>
                  <pic:nvPicPr>
                    <pic:cNvPr descr="C:/Users/apart/AppData/Local/Temp/html2doc_svg_njkrGI/svg_11.png" id="83" name="Picture"/>
                    <pic:cNvPicPr>
                      <a:picLocks noChangeArrowheads="1" noChangeAspect="1"/>
                    </pic:cNvPicPr>
                  </pic:nvPicPr>
                  <pic:blipFill>
                    <a:blip r:embed="rId81"/>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bookmarkEnd w:id="84"/>
    <w:bookmarkStart w:id="8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bookmarkEnd w:id="85"/>
    <w:bookmarkStart w:id="89"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87" name="Picture"/>
            <a:graphic>
              <a:graphicData uri="http://schemas.openxmlformats.org/drawingml/2006/picture">
                <pic:pic>
                  <pic:nvPicPr>
                    <pic:cNvPr descr="C:/Users/apart/AppData/Local/Temp/html2doc_svg_njkrGI/svg_12.png" id="88" name="Picture"/>
                    <pic:cNvPicPr>
                      <a:picLocks noChangeArrowheads="1" noChangeAspect="1"/>
                    </pic:cNvPicPr>
                  </pic:nvPicPr>
                  <pic:blipFill>
                    <a:blip r:embed="rId86"/>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89"/>
    <w:bookmarkStart w:id="90"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5.8: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90"/>
    <w:bookmarkStart w:id="91"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91"/>
    <w:bookmarkStart w:id="92"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3 makes this visible directly by combining length, aspect-count, course, and style evidence in one place.</w:t>
      </w:r>
    </w:p>
    <w:bookmarkEnd w:id="92"/>
    <w:bookmarkEnd w:id="93"/>
    <w:bookmarkStart w:id="125"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4">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5">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6">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7">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8">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99">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0">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1">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2">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3">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4">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5">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6">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7">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8">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09">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0">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1">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2">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3">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4">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5">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6">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7">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8">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19">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0">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1">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2">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3">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4">
        <w:r>
          <w:rPr>
            <w:rStyle w:val="Hyperlink"/>
          </w:rPr>
          <w:t xml:space="preserve">Sentiment Analysis in the Era of Large Language Models: A Reality Check</w:t>
        </w:r>
      </w:hyperlink>
      <w:r>
        <w:t xml:space="preserve">. Findings of NAACL 2024, pages 3892-3910.</w:t>
      </w:r>
    </w:p>
    <w:bookmarkEnd w:id="12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78" Type="http://schemas.openxmlformats.org/officeDocument/2006/relationships/image" Target="media/rId78.png"/><Relationship Id="rId81" Type="http://schemas.openxmlformats.org/officeDocument/2006/relationships/image" Target="media/rId81.png"/><Relationship Id="rId86" Type="http://schemas.openxmlformats.org/officeDocument/2006/relationships/image" Target="media/rId86.png"/><Relationship Id="rId30" Type="http://schemas.openxmlformats.org/officeDocument/2006/relationships/image" Target="media/rId30.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3" Type="http://schemas.openxmlformats.org/officeDocument/2006/relationships/image" Target="media/rId53.png"/><Relationship Id="rId68" Type="http://schemas.openxmlformats.org/officeDocument/2006/relationships/image" Target="media/rId68.png"/><Relationship Id="rId73" Type="http://schemas.openxmlformats.org/officeDocument/2006/relationships/image" Target="media/rId73.png"/><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2026-06-12T21:22:20Z</dcterms:created>
  <dcterms:modified xsi:type="dcterms:W3CDTF">2026-06-12T21:22:20Z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