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student feedback is private and expensive to annotate, and we contribute a methodology that applies beyond it. We release a controlled corpus of 10,000 synthetic course reviews over a 20-aspect pedagogical schema, generated by sampling supervision targets separately from nuance attributes so the same aspect labels recur under varied course contexts and writing styles. We then introduce a faithfulness-aware pipeline: a cost-matched LLM audit scores how well each declared label is supported by the text, and that score both filters the training data and is itself cross-checked for reliability across independent judges.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which is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with no real labels,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and replication across two architectures and two real transfer targets,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EhcrZq/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EhcrZq/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EhcrZq/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(macro balanced accuracy 0.623, detected-aspect sentiment MSE 0.4959), followed by</w:t>
      </w:r>
      <w:r>
        <w:t xml:space="preserve"> </w:t>
      </w:r>
      <w:r>
        <w:rPr>
          <w:rStyle w:val="VerbatimChar"/>
        </w:rPr>
        <w:t xml:space="preserve">distilbert-base-uncased</w:t>
      </w:r>
      <w:r>
        <w:t xml:space="preserve"> </w:t>
      </w:r>
      <w:r>
        <w:t xml:space="preserve">at 0.2691 (0.621).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 Micro-F1 is a deliberately strict operating-point metric here: with one to three aspects per review among twenty mostly-absent labels, the trivial all-present baseline already scores 0.183, so a held-out 0.276 clears chance by a wide margin, and the less compressed macro balanced accuracy near 0.62 is the more representative view of the same detector. We therefore read detection through balanced accuracy and threshold-free ranking (below) alongside F1, not F1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EhcrZq/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EhcrZq/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EhcrZq/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EhcrZq/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EhcrZq/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EhcrZq/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EhcrZq/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EhcrZq/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EhcrZq/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EhcrZq/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2026-06-12T21:22:28Z</dcterms:created>
  <dcterms:modified xsi:type="dcterms:W3CDTF">2026-06-12T21:22:28Z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