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0.42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3Xx1XO/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3Xx1XO/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3Xx1XO/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3Xx1XO/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3Xx1XO/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3Xx1XO/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3Xx1XO/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Table 8F. Cross-architecture and cross-target replication of the §6.7D contrasts. Paired bucket-versus-baseline differences in sentiment MSE on the detector's predicted aspects, mean over eight seeds with 95% bootstrap CI. The</w:t>
      </w:r>
      <w:r>
        <w:t xml:space="preserve"> </w:t>
      </w:r>
      <w:r>
        <w:rPr>
          <w:rStyle w:val="VerbatimChar"/>
        </w:rPr>
        <w:t xml:space="preserve">top50 − random_5k</w:t>
      </w:r>
      <w:r>
        <w:t xml:space="preserve"> </w:t>
      </w:r>
      <w:r>
        <w:t xml:space="preserve">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8F. Cross-architecture and cross-target replication of the §6.7D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3Xx1XO/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Claude 3.5 Haiku via OpenRouter: per-aspect support agreement against the GPT-5.2 audit was 0.817 and sentiment-match agreement was 0.678, comparable to the gpt-4.1-mini calibration used at scale. The audit-derived buckets are therefore robust to the choice of cost-matched judge.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3Xx1XO/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3Xx1XO/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3Xx1XO/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3Xx1XO/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3Xx1XO/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2026-06-05T06:24:58Z</dcterms:created>
  <dcterms:modified xsi:type="dcterms:W3CDTF">2026-06-05T06:24:58Z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