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2"/>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feedback is private and costly to annotate, with a methodology that applies beyond it. We release a controlled corpus of 10,000 synthetic course reviews over a 20-aspect pedagogical schema, generated by sampling supervision targets separately from nuance attributes, so the same labels recur across varied course contexts and styles. We then introduce a faithfulness-aware pipeline: a cost-matched LLM audit scores how well each declared label is supported by the text, and that score both filters the training data and is itself validated across independent LLM judges and against human labels (Cohen's kappa 0.56 on two annotated corpora).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(the unbiased metric), faithfulness-aware row filtering lowers transferred sentiment error on Herath across two architectures (paired 95% bootstrap CI excludes zero), and a lowest-faithfulness control collapses transfer on both real benchmarks (Herath and EduRABSA). Synthetic-only training recovers about 60% of a real-trained model, and synthetic pre-training followed by real fine-tuning exceeds real-only training. The audit-filter-validate recipe is a general tool for quality-controlling LLM-supervised data; the corpus and code are released.</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that collapses transfer across two architectures and two real targets, a size-matched filtering gain on the Herath target, and direct validation against human labels (Cohen's kappa 0.56 on two annotated corpora),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A recent line of work formalizes this as a generation, curation, and evaluation pipeline [34] and turns directly to controlling the quality of LLM-supervised data: synthetic ABSA generators add label-refinement modules for few-shot transfer [32], LLM-generated samples help ABSA in low-resource regimes [33], and downstream classifiers can be calibrated against LLM-generated label noise after training [37]. The present work sits on the data side of that pipeline: rather than refining labels inside the generator [32] or correcting the classifier downstream [37], it audits each declared label for textual support, filters the corpus before training, and validates that audit against human labels.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A recent systematic review of aspect-based sentiment analysis in MOOC settings similarly catalogs the aspect schemas and methods used across educational platforms [38]. Together, this literature supports the relevance of the problem, clarifies why real labeled educational data are difficult to obtain at scale, and explains why a synthetic educational ABSA resource may be useful even when realism validation remains a separate concern. Table 1 positions the present study against these prior educational-feedback resources.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80410"/>
            <wp:effectExtent b="0" l="0" r="0" t="0"/>
            <wp:docPr descr="Synthetic data generation pipeline" title="" id="15" name="Picture"/>
            <a:graphic>
              <a:graphicData uri="http://schemas.openxmlformats.org/drawingml/2006/picture">
                <pic:pic>
                  <pic:nvPicPr>
                    <pic:cNvPr descr="C:/Users/apart/AppData/Local/Temp/html2doc_svg_HSpCWx/svg_0.png" id="16" name="Picture"/>
                    <pic:cNvPicPr>
                      <a:picLocks noChangeArrowheads="1" noChangeAspect="1"/>
                    </pic:cNvPicPr>
                  </pic:nvPicPr>
                  <pic:blipFill>
                    <a:blip r:embed="rId14"/>
                    <a:stretch>
                      <a:fillRect/>
                    </a:stretch>
                  </pic:blipFill>
                  <pic:spPr bwMode="auto">
                    <a:xfrm>
                      <a:off x="0" y="0"/>
                      <a:ext cx="6400800" cy="328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2984601" cy="2145513"/>
            <wp:effectExtent b="0" l="0" r="0" t="0"/>
            <wp:docPr descr="Aspect sentiment heatmap" title="" id="28" name="Picture"/>
            <a:graphic>
              <a:graphicData uri="http://schemas.openxmlformats.org/drawingml/2006/picture">
                <pic:pic>
                  <pic:nvPicPr>
                    <pic:cNvPr descr="C:/Users/apart/AppData/Local/Temp/html2doc_svg_HSpCWx/svg_1.png" id="29" name="Picture"/>
                    <pic:cNvPicPr>
                      <a:picLocks noChangeArrowheads="1" noChangeAspect="1"/>
                    </pic:cNvPicPr>
                  </pic:nvPicPr>
                  <pic:blipFill>
                    <a:blip r:embed="rId27"/>
                    <a:stretch>
                      <a:fillRect/>
                    </a:stretch>
                  </pic:blipFill>
                  <pic:spPr bwMode="auto">
                    <a:xfrm>
                      <a:off x="0" y="0"/>
                      <a:ext cx="2984601" cy="214551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175347"/>
            <wp:effectExtent b="0" l="0" r="0" t="0"/>
            <wp:docPr descr="Corpus profile" title="" id="31" name="Picture"/>
            <a:graphic>
              <a:graphicData uri="http://schemas.openxmlformats.org/drawingml/2006/picture">
                <pic:pic>
                  <pic:nvPicPr>
                    <pic:cNvPr descr="C:/Users/apart/AppData/Local/Temp/html2doc_svg_HSpCWx/svg_2.png" id="32" name="Picture"/>
                    <pic:cNvPicPr>
                      <a:picLocks noChangeArrowheads="1" noChangeAspect="1"/>
                    </pic:cNvPicPr>
                  </pic:nvPicPr>
                  <pic:blipFill>
                    <a:blip r:embed="rId30"/>
                    <a:stretch>
                      <a:fillRect/>
                    </a:stretch>
                  </pic:blipFill>
                  <pic:spPr bwMode="auto">
                    <a:xfrm>
                      <a:off x="0" y="0"/>
                      <a:ext cx="6400800" cy="417534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3"/>
    <w:bookmarkStart w:id="34" w:name="scope-of-reported-analyses"/>
    <w:p>
      <w:pPr>
        <w:pStyle w:val="Heading3"/>
        <w:keepNext/>
        <w:keepLines/>
        <w:widowControl w:val="1"/>
      </w:pPr>
      <w:r>
        <w:t xml:space="preserve">5.2 Scope of Reported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detection, at macro balanced accuracy 0.623 and macro AUROC 0.681 (micro-F1 0.276, detected-aspect sentiment MSE 0.4959), followed by</w:t>
      </w:r>
      <w:r>
        <w:t xml:space="preserve"> </w:t>
      </w:r>
      <w:r>
        <w:rPr>
          <w:rStyle w:val="VerbatimChar"/>
        </w:rPr>
        <w:t xml:space="preserve">distilbert-base-uncased</w:t>
      </w:r>
      <w:r>
        <w:t xml:space="preserve"> </w:t>
      </w:r>
      <w:r>
        <w:t xml:space="preserve">at balanced accuracy 0.621 (micro-F1 0.2691). The joint variants remain competitive but lower (</w:t>
      </w:r>
      <w:r>
        <w:rPr>
          <w:rStyle w:val="VerbatimChar"/>
        </w:rPr>
        <w:t xml:space="preserve">distilbert_joint</w:t>
      </w:r>
      <w:r>
        <w:t xml:space="preserve"> </w:t>
      </w:r>
      <w:r>
        <w:t xml:space="preserve">micro-F1 0.2524,</w:t>
      </w:r>
      <w:r>
        <w:t xml:space="preserve"> </w:t>
      </w:r>
      <w:r>
        <w:rPr>
          <w:rStyle w:val="VerbatimChar"/>
        </w:rPr>
        <w:t xml:space="preserve">bert_joint</w:t>
      </w:r>
      <w:r>
        <w:t xml:space="preserve"> </w:t>
      </w:r>
      <w:r>
        <w:t xml:space="preserve">0.2447), which supports the two-step decomposition as the clearest baseline family in this benchmark. We lead with balanced accuracy and threshold-free AUROC rather than micro-F1 because micro-F1 is a deliberately strict operating-point metric here: with one to three aspects per review among twenty mostly-absent labels, the trivial all-present baseline already scores 0.183 micro-F1, so the absolute level is compressed by the task structure and the measured label noise rather than by weak representations. Micro-F1 is retained throughout the tables as the standard comparable metric, but it is read alongside balanced accuracy and ranking quality, not alone.</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7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5.9),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5.9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 threshold-free view confirms the same reading: on the 20-aspect held-out test set the BERT detector reaches a macro AUROC of 0.681 and a micro AUROC of 0.688, with per-aspect AUROC ranging from 0.54 to 0.83 (highest for lexically marked aspects such as</w:t>
      </w:r>
      <w:r>
        <w:t xml:space="preserve"> </w:t>
      </w:r>
      <w:r>
        <w:rPr>
          <w:rStyle w:val="VerbatimChar"/>
        </w:rPr>
        <w:t xml:space="preserve">pacing</w:t>
      </w:r>
      <w:r>
        <w:t xml:space="preserve"> </w:t>
      </w:r>
      <w:r>
        <w:t xml:space="preserve">at 0.83 and</w:t>
      </w:r>
      <w:r>
        <w:t xml:space="preserve"> </w:t>
      </w:r>
      <w:r>
        <w:rPr>
          <w:rStyle w:val="VerbatimChar"/>
        </w:rPr>
        <w:t xml:space="preserve">workload</w:t>
      </w:r>
      <w:r>
        <w:t xml:space="preserve"> </w:t>
      </w:r>
      <w:r>
        <w:t xml:space="preserve">at 0.81). Because AUROC is independent of the decision threshold and therefore of the noisy gold operating point, this shows the detector ranks aspect presence well above chance and that the moderate micro-F1 reflects thresholding and label noise rather than weak representations.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6400800" cy="2414383"/>
            <wp:effectExtent b="0" l="0" r="0" t="0"/>
            <wp:docPr descr="Benchmark comparison" title="" id="36" name="Picture"/>
            <a:graphic>
              <a:graphicData uri="http://schemas.openxmlformats.org/drawingml/2006/picture">
                <pic:pic>
                  <pic:nvPicPr>
                    <pic:cNvPr descr="C:/Users/apart/AppData/Local/Temp/html2doc_svg_HSpCWx/svg_3.png" id="37" name="Picture"/>
                    <pic:cNvPicPr>
                      <a:picLocks noChangeArrowheads="1" noChangeAspect="1"/>
                    </pic:cNvPicPr>
                  </pic:nvPicPr>
                  <pic:blipFill>
                    <a:blip r:embed="rId35"/>
                    <a:stretch>
                      <a:fillRect/>
                    </a:stretch>
                  </pic:blipFill>
                  <pic:spPr bwMode="auto">
                    <a:xfrm>
                      <a:off x="0" y="0"/>
                      <a:ext cx="6400800" cy="241438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8.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Because</w:t>
      </w:r>
      <w:r>
        <w:t xml:space="preserve"> </w:t>
      </w:r>
      <w:r>
        <w:rPr>
          <w:rStyle w:val="VerbatimChar"/>
        </w:rPr>
        <w:t xml:space="preserve">gpt-5.2</w:t>
      </w:r>
      <w:r>
        <w:t xml:space="preserve"> </w:t>
      </w:r>
      <w:r>
        <w:t xml:space="preserve">also serves as the strict faithfulness auditor (Section 5.8) and shares a provider family with the</w:t>
      </w:r>
      <w:r>
        <w:t xml:space="preserve"> </w:t>
      </w:r>
      <w:r>
        <w:rPr>
          <w:rStyle w:val="VerbatimChar"/>
        </w:rPr>
        <w:t xml:space="preserve">gpt-5-nano</w:t>
      </w:r>
      <w:r>
        <w:t xml:space="preserve"> </w:t>
      </w:r>
      <w:r>
        <w:t xml:space="preserve">generator, these are reported as same-family reference baselines rather than independent external systems.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 Figure 5 plots the per-aspect detection and sentiment profile, and Table 9 lists the strongest and weakest aspect categories.</w:t>
      </w:r>
    </w:p>
    <w:p>
      <w:pPr>
        <w:pStyle w:val="BodyText"/>
        <w:jc w:val="center"/>
        <w:keepNext/>
        <w:keepLines/>
        <w:widowControl w:val="1"/>
      </w:pPr>
      <w:r>
        <w:drawing>
          <wp:inline>
            <wp:extent cx="2984601" cy="2137106"/>
            <wp:effectExtent b="0" l="0" r="0" t="0"/>
            <wp:docPr descr="Best-model per-aspect benchmark" title="" id="41" name="Picture"/>
            <a:graphic>
              <a:graphicData uri="http://schemas.openxmlformats.org/drawingml/2006/picture">
                <pic:pic>
                  <pic:nvPicPr>
                    <pic:cNvPr descr="C:/Users/apart/AppData/Local/Temp/html2doc_svg_HSpCWx/svg_4.png" id="42" name="Picture"/>
                    <pic:cNvPicPr>
                      <a:picLocks noChangeArrowheads="1" noChangeAspect="1"/>
                    </pic:cNvPicPr>
                  </pic:nvPicPr>
                  <pic:blipFill>
                    <a:blip r:embed="rId40"/>
                    <a:stretch>
                      <a:fillRect/>
                    </a:stretch>
                  </pic:blipFill>
                  <pic:spPr bwMode="auto">
                    <a:xfrm>
                      <a:off x="0" y="0"/>
                      <a:ext cx="2984601" cy="213710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9.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11 and Figure 7 make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Exact synthetic-to-real transfer scores on the mapped Herath benchmark over the conservative nine-aspect overlap. The table gives the precise model values, while Figure 6 adds the overlap-support context needed to interpret them.</w:t>
      </w:r>
    </w:p>
    <w:tbl>
      <w:tblPr>
        <w:tblStyle w:val="Table"/>
        <w:tblW w:type="pct" w:w="5000"/>
        <w:jc w:val="center"/>
        <w:tblLook w:firstRow="1" w:lastRow="0" w:firstColumn="0" w:lastColumn="0" w:noHBand="0" w:noVBand="0" w:val="0020"/>
        <w:tblCaption w:val="Table 10.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6400800" cy="2280570"/>
            <wp:effectExtent b="0" l="0" r="0" t="0"/>
            <wp:docPr descr="External validation on mapped real student feedback" title="" id="45" name="Picture"/>
            <a:graphic>
              <a:graphicData uri="http://schemas.openxmlformats.org/drawingml/2006/picture">
                <pic:pic>
                  <pic:nvPicPr>
                    <pic:cNvPr descr="C:/Users/apart/AppData/Local/Temp/html2doc_svg_HSpCWx/svg_5.png" id="46" name="Picture"/>
                    <pic:cNvPicPr>
                      <a:picLocks noChangeArrowheads="1" noChangeAspect="1"/>
                    </pic:cNvPicPr>
                  </pic:nvPicPr>
                  <pic:blipFill>
                    <a:blip r:embed="rId44"/>
                    <a:stretch>
                      <a:fillRect/>
                    </a:stretch>
                  </pic:blipFill>
                  <pic:spPr bwMode="auto">
                    <a:xfrm>
                      <a:off x="0" y="0"/>
                      <a:ext cx="6400800" cy="2280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10. The figure supports a partial-transfer claim only for the conservative 9-aspect overlap.</w:t>
      </w:r>
    </w:p>
    <w:p>
      <w:pPr>
        <w:pStyle w:val="BodyText"/>
        <w:jc w:val="center"/>
        <w:keepNext/>
        <w:keepLines/>
        <w:widowControl w:val="1"/>
      </w:pPr>
      <w:r>
        <w:drawing>
          <wp:inline>
            <wp:extent cx="6400800" cy="3455434"/>
            <wp:effectExtent b="0" l="0" r="0" t="0"/>
            <wp:docPr descr="Overlap-matched internal versus external comparison" title="" id="48" name="Picture"/>
            <a:graphic>
              <a:graphicData uri="http://schemas.openxmlformats.org/drawingml/2006/picture">
                <pic:pic>
                  <pic:nvPicPr>
                    <pic:cNvPr descr="C:/Users/apart/AppData/Local/Temp/html2doc_svg_HSpCWx/svg_6.png" id="49" name="Picture"/>
                    <pic:cNvPicPr>
                      <a:picLocks noChangeArrowheads="1" noChangeAspect="1"/>
                    </pic:cNvPicPr>
                  </pic:nvPicPr>
                  <pic:blipFill>
                    <a:blip r:embed="rId47"/>
                    <a:stretch>
                      <a:fillRect/>
                    </a:stretch>
                  </pic:blipFill>
                  <pic:spPr bwMode="auto">
                    <a:xfrm>
                      <a:off x="0" y="0"/>
                      <a:ext cx="6400800" cy="3455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40" w:after="60" w:line="240" w:lineRule="auto"/>
        <w:jc w:val="center"/>
        <w:keepNext/>
        <w:keepLines/>
        <w:widowControl w:val="1"/>
      </w:pPr>
      <w:r>
        <w:rPr>
          <w:b/>
          <w:i/>
        </w:rPr>
        <w:t>Table 11.</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11.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12.</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12.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12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 Table 13 reports the resulting aspect-support and sentiment-match rates.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13.</w:t>
      </w:r>
      <w:r>
        <w:rPr>
          <w:b w:val="0"/>
          <w:i/>
        </w:rPr>
        <w:t xml:space="preserve"> </w:t>
      </w:r>
      <w:r>
        <w:rPr>
          <w:b w:val="0"/>
          <w:i/>
        </w:rPr>
        <w:t>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13.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 This per-row score averages 0.58, higher than the 0.42 aspect-sentiment-match rate reported in Section 5.8 because it is a per-row mean under the more lenient cost-matched</w:t>
      </w:r>
      <w:r>
        <w:t xml:space="preserve"> </w:t>
      </w:r>
      <w:r>
        <w:rPr>
          <w:rStyle w:val="VerbatimChar"/>
        </w:rPr>
        <w:t xml:space="preserve">gpt-4.1-mini</w:t>
      </w:r>
      <w:r>
        <w:t xml:space="preserve"> </w:t>
      </w:r>
      <w:r>
        <w:t xml:space="preserve">judge rather than a per-aspect rate under the stricter</w:t>
      </w:r>
      <w:r>
        <w:t xml:space="preserve"> </w:t>
      </w:r>
      <w:r>
        <w:rPr>
          <w:rStyle w:val="VerbatimChar"/>
        </w:rPr>
        <w:t xml:space="preserve">gpt-5.2</w:t>
      </w:r>
      <w:r>
        <w:t xml:space="preserve"> </w:t>
      </w:r>
      <w:r>
        <w:t xml:space="preserve">auditor; the two judges agree on 79% of per-aspect sentiment decisions.</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14.</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4.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 The size-matched filtering gain is specific to sentiment-polarity fidelity, the metric most sensitive to label faithfulness; on detection (macro balanced accuracy, Table 14) the audit score's effect is concentrated at the unfaithful end, where the</w:t>
      </w:r>
      <w:r>
        <w:t xml:space="preserve"> </w:t>
      </w:r>
      <w:r>
        <w:rPr>
          <w:rStyle w:val="VerbatimChar"/>
        </w:rPr>
        <w:t xml:space="preserve">bot25</w:t>
      </w:r>
      <w:r>
        <w:t xml:space="preserve"> </w:t>
      </w:r>
      <w:r>
        <w:t xml:space="preserve">bucket alone drops to 0.522.</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15.</w:t>
      </w:r>
      <w:r>
        <w:rPr>
          <w:b w:val="0"/>
          <w:i/>
        </w:rPr>
        <w:t xml:space="preserve"> </w:t>
      </w:r>
      <w:r>
        <w:rPr>
          <w:b w:val="0"/>
          <w:i/>
        </w:rPr>
        <w:t>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5. 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349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HSpCWx/svg_7.png" id="55" name="Picture"/>
                    <pic:cNvPicPr>
                      <a:picLocks noChangeArrowheads="1" noChangeAspect="1"/>
                    </pic:cNvPicPr>
                  </pic:nvPicPr>
                  <pic:blipFill>
                    <a:blip r:embed="rId53"/>
                    <a:stretch>
                      <a:fillRect/>
                    </a:stretch>
                  </pic:blipFill>
                  <pic:spPr bwMode="auto">
                    <a:xfrm>
                      <a:off x="0" y="0"/>
                      <a:ext cx="2984601" cy="20349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Table 15 collects these paired contrasts across both architectures and both transfer targets, and Figure 8 visualizes all conditions. 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 Using an LLM as a label auditor is consistent with evidence that LLM annotators can rival or exceed crowd workers on annotation tasks [35]; because LLM judges also carry documented biases [36], we control for them with the cross-provider agreement here and with the human-label validation below.</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the audit additionally reproduces human faithfulness labels on annotated data, as we show next.</w:t>
      </w:r>
    </w:p>
    <w:p>
      <w:pPr>
        <w:pStyle w:val="BodyText"/>
        <w:jc w:val="both"/>
        <w:keepNext w:val="0"/>
        <w:keepLines w:val="0"/>
        <w:widowControl w:val="1"/>
      </w:pPr>
      <w:r>
        <w:t xml:space="preserve">We close the loop by validating the audit directly against human labels. From the two human-annotated corpora (Herath and EduRABSA) we build 1,200 perturbation-controlled label variants: each sampled review carries a</w:t>
      </w:r>
      <w:r>
        <w:t xml:space="preserve"> </w:t>
      </w:r>
      <w:r>
        <w:rPr>
          <w:i/>
          <w:iCs/>
        </w:rPr>
        <w:t xml:space="preserve">faithful</w:t>
      </w:r>
      <w:r>
        <w:t xml:space="preserve"> </w:t>
      </w:r>
      <w:r>
        <w:t xml:space="preserve">variant with its human gold labels, a polarity-</w:t>
      </w:r>
      <w:r>
        <w:rPr>
          <w:i/>
          <w:iCs/>
        </w:rPr>
        <w:t xml:space="preserve">flipped</w:t>
      </w:r>
      <w:r>
        <w:t xml:space="preserve"> </w:t>
      </w:r>
      <w:r>
        <w:t xml:space="preserve">variant, and an aspect-</w:t>
      </w:r>
      <w:r>
        <w:rPr>
          <w:i/>
          <w:iCs/>
        </w:rPr>
        <w:t xml:space="preserve">injected</w:t>
      </w:r>
      <w:r>
        <w:t xml:space="preserve"> </w:t>
      </w:r>
      <w:r>
        <w:t xml:space="preserve">variant, and the Section 5.8 audit scores all three. The right comparison is per aspect, because the filter audits each declared aspect independently. Across 2,482 aspect-label decisions the audit reproduces the human judgment at Cohen's kappa 0.56 (moderate agreement on the Landis-Koch scale; precision 0.88, accuracy 0.78): it retains 0.69 of genuinely faithful aspects, rejects 0.89 of polarity-flipped aspects, and rejects 0.87 of injected absent aspects, with agreement higher on EduRABSA (kappa 0.62) than on Herath (kappa 0.51). The audit that drives the filter therefore tracks human faithfulness judgments on real annotated data, not only the verdicts of other LLM judges, and its precision means a label it accepts as faithful agrees with the human annotation 88% of the time.</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analysis is conducted with LLM judges and improves prompt quality without establishing statistical indistinguishability from real reviews; the label-faithfulness audit is validated three ways (a behavioral negative control, cross-provider judge agreement, and direct agreement with human labels at Cohen's kappa 0.56 on two annotated corpora, Section 5.9), and human re-annotation across the full 20-aspect schema remains the natural extension.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 Table A3 shows the generation instruction at each cycle.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2984601" cy="2212163"/>
            <wp:effectExtent b="0" l="0" r="0" t="0"/>
            <wp:docPr descr="Per-aspect F1 heatmap on the mapped real benchmark" title="" id="69" name="Picture"/>
            <a:graphic>
              <a:graphicData uri="http://schemas.openxmlformats.org/drawingml/2006/picture">
                <pic:pic>
                  <pic:nvPicPr>
                    <pic:cNvPr descr="C:/Users/apart/AppData/Local/Temp/html2doc_svg_HSpCWx/svg_8.png" id="70" name="Picture"/>
                    <pic:cNvPicPr>
                      <a:picLocks noChangeArrowheads="1" noChangeAspect="1"/>
                    </pic:cNvPicPr>
                  </pic:nvPicPr>
                  <pic:blipFill>
                    <a:blip r:embed="rId68"/>
                    <a:stretch>
                      <a:fillRect/>
                    </a:stretch>
                  </pic:blipFill>
                  <pic:spPr bwMode="auto">
                    <a:xfrm>
                      <a:off x="0" y="0"/>
                      <a:ext cx="2984601" cy="22121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8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8.</w:t>
      </w:r>
    </w:p>
    <w:tbl>
      <w:tblPr>
        <w:tblStyle w:val="Table"/>
        <w:tblW w:type="pct" w:w="5000"/>
        <w:jc w:val="center"/>
        <w:tblLook w:firstRow="1" w:lastRow="0" w:firstColumn="0" w:lastColumn="0" w:noHBand="0" w:noVBand="0" w:val="0020"/>
        <w:tblCaption w:val="Table A5. Configuration details for the GPT-based inference methods reported in Tabl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6400800" cy="4146172"/>
            <wp:effectExtent b="0" l="0" r="0" t="0"/>
            <wp:docPr descr="Aspect count distribution in the pilot validation subset" title="" id="74" name="Picture"/>
            <a:graphic>
              <a:graphicData uri="http://schemas.openxmlformats.org/drawingml/2006/picture">
                <pic:pic>
                  <pic:nvPicPr>
                    <pic:cNvPr descr="C:/Users/apart/AppData/Local/Temp/html2doc_svg_HSpCWx/svg_9.png" id="75" name="Picture"/>
                    <pic:cNvPicPr>
                      <a:picLocks noChangeArrowheads="1" noChangeAspect="1"/>
                    </pic:cNvPicPr>
                  </pic:nvPicPr>
                  <pic:blipFill>
                    <a:blip r:embed="rId73"/>
                    <a:stretch>
                      <a:fillRect/>
                    </a:stretch>
                  </pic:blipFill>
                  <pic:spPr bwMode="auto">
                    <a:xfrm>
                      <a:off x="0" y="0"/>
                      <a:ext cx="6400800" cy="41461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6400800" cy="3380814"/>
            <wp:effectExtent b="0" l="0" r="0" t="0"/>
            <wp:docPr descr="Seed stability across the strongest local models" title="" id="79" name="Picture"/>
            <a:graphic>
              <a:graphicData uri="http://schemas.openxmlformats.org/drawingml/2006/picture">
                <pic:pic>
                  <pic:nvPicPr>
                    <pic:cNvPr descr="C:/Users/apart/AppData/Local/Temp/html2doc_svg_HSpCWx/svg_10.png" id="80" name="Picture"/>
                    <pic:cNvPicPr>
                      <a:picLocks noChangeArrowheads="1" noChangeAspect="1"/>
                    </pic:cNvPicPr>
                  </pic:nvPicPr>
                  <pic:blipFill>
                    <a:blip r:embed="rId78"/>
                    <a:stretch>
                      <a:fillRect/>
                    </a:stretch>
                  </pic:blipFill>
                  <pic:spPr bwMode="auto">
                    <a:xfrm>
                      <a:off x="0" y="0"/>
                      <a:ext cx="6400800" cy="3380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4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6400800" cy="3020767"/>
            <wp:effectExtent b="0" l="0" r="0" t="0"/>
            <wp:docPr descr="Training-budget tuning comparison for BERT and DistilBERT" title="" id="82" name="Picture"/>
            <a:graphic>
              <a:graphicData uri="http://schemas.openxmlformats.org/drawingml/2006/picture">
                <pic:pic>
                  <pic:nvPicPr>
                    <pic:cNvPr descr="C:/Users/apart/AppData/Local/Temp/html2doc_svg_HSpCWx/svg_11.png" id="83" name="Picture"/>
                    <pic:cNvPicPr>
                      <a:picLocks noChangeArrowheads="1" noChangeAspect="1"/>
                    </pic:cNvPicPr>
                  </pic:nvPicPr>
                  <pic:blipFill>
                    <a:blip r:embed="rId81"/>
                    <a:stretch>
                      <a:fillRect/>
                    </a:stretch>
                  </pic:blipFill>
                  <pic:spPr bwMode="auto">
                    <a:xfrm>
                      <a:off x="0" y="0"/>
                      <a:ext cx="6400800" cy="30207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4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1864489"/>
            <wp:effectExtent b="0" l="0" r="0" t="0"/>
            <wp:docPr descr="Realism improvement curve" title="" id="87" name="Picture"/>
            <a:graphic>
              <a:graphicData uri="http://schemas.openxmlformats.org/drawingml/2006/picture">
                <pic:pic>
                  <pic:nvPicPr>
                    <pic:cNvPr descr="C:/Users/apart/AppData/Local/Temp/html2doc_svg_HSpCWx/svg_12.png" id="88" name="Picture"/>
                    <pic:cNvPicPr>
                      <a:picLocks noChangeArrowheads="1" noChangeAspect="1"/>
                    </pic:cNvPicPr>
                  </pic:nvPicPr>
                  <pic:blipFill>
                    <a:blip r:embed="rId86"/>
                    <a:stretch>
                      <a:fillRect/>
                    </a:stretch>
                  </pic:blipFill>
                  <pic:spPr bwMode="auto">
                    <a:xfrm>
                      <a:off x="0" y="0"/>
                      <a:ext cx="6400800" cy="18644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 Figure A5 plots the per-cycle accuracy, confusion, and entropy, and Table A12 summarizes the three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32"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p>
      <w:pPr>
        <w:pStyle w:val="Compact"/>
        <w:numPr>
          <w:ilvl w:val="0"/>
          <w:numId w:val="1003"/>
        </w:numPr>
        <w:ind w:left="360" w:hanging="259"/>
        <w:jc w:val="both"/>
        <w:keepNext w:val="0"/>
        <w:keepLines w:val="0"/>
        <w:widowControl w:val="1"/>
      </w:pPr>
      <w:r>
        <w:t xml:space="preserve">Hongling Xu, Yice Zhang, Qianlong Wang, and Ruifeng Xu. 2025.</w:t>
      </w:r>
      <w:r>
        <w:t xml:space="preserve"> </w:t>
      </w:r>
      <w:hyperlink r:id="rId125">
        <w:r>
          <w:rPr>
            <w:rStyle w:val="Hyperlink"/>
          </w:rPr>
          <w:t xml:space="preserve">DS2-ABSA: Dual-Stream Data Synthesis with Label Refinement for Few-Shot Aspect-Based Sentiment Analysis</w:t>
        </w:r>
      </w:hyperlink>
      <w:r>
        <w:t xml:space="preserve">. Proceedings of ACL 2025.</w:t>
      </w:r>
    </w:p>
    <w:p>
      <w:pPr>
        <w:pStyle w:val="Compact"/>
        <w:numPr>
          <w:ilvl w:val="0"/>
          <w:numId w:val="1003"/>
        </w:numPr>
        <w:ind w:left="360" w:hanging="259"/>
        <w:jc w:val="both"/>
        <w:keepNext w:val="0"/>
        <w:keepLines w:val="0"/>
        <w:widowControl w:val="1"/>
      </w:pPr>
      <w:r>
        <w:t xml:space="preserve">Nils Constantin Hellwig, Jakob Fehle, and Christian Wolff. 2025.</w:t>
      </w:r>
      <w:r>
        <w:t xml:space="preserve"> </w:t>
      </w:r>
      <w:hyperlink r:id="rId126">
        <w:r>
          <w:rPr>
            <w:rStyle w:val="Hyperlink"/>
          </w:rPr>
          <w:t xml:space="preserve">Exploring large language models for the generation of synthetic training samples for aspect-based sentiment analysis in low resource settings</w:t>
        </w:r>
      </w:hyperlink>
      <w:r>
        <w:t xml:space="preserve">.</w:t>
      </w:r>
      <w:r>
        <w:t xml:space="preserve"> </w:t>
      </w:r>
      <w:r>
        <w:rPr>
          <w:i/>
          <w:iCs/>
        </w:rPr>
        <w:t xml:space="preserve">Expert Systems with Applications</w:t>
      </w:r>
      <w:r>
        <w:t xml:space="preserve">, 261, 125514.</w:t>
      </w:r>
    </w:p>
    <w:p>
      <w:pPr>
        <w:pStyle w:val="Compact"/>
        <w:numPr>
          <w:ilvl w:val="0"/>
          <w:numId w:val="1003"/>
        </w:numPr>
        <w:ind w:left="360" w:hanging="259"/>
        <w:jc w:val="both"/>
        <w:keepNext w:val="0"/>
        <w:keepLines w:val="0"/>
        <w:widowControl w:val="1"/>
      </w:pPr>
      <w:r>
        <w:t xml:space="preserve">Lin Long, Rui Wang, Ruixuan Xiao, Junbo Zhao, Xiao Ding, Gang Chen, and Haobo Wang. 2024.</w:t>
      </w:r>
      <w:r>
        <w:t xml:space="preserve"> </w:t>
      </w:r>
      <w:hyperlink r:id="rId127">
        <w:r>
          <w:rPr>
            <w:rStyle w:val="Hyperlink"/>
          </w:rPr>
          <w:t xml:space="preserve">On LLMs-Driven Synthetic Data Generation, Curation, and Evaluation: A Survey</w:t>
        </w:r>
      </w:hyperlink>
      <w:r>
        <w:t xml:space="preserve">. Findings of ACL 2024.</w:t>
      </w:r>
    </w:p>
    <w:p>
      <w:pPr>
        <w:pStyle w:val="Compact"/>
        <w:numPr>
          <w:ilvl w:val="0"/>
          <w:numId w:val="1003"/>
        </w:numPr>
        <w:ind w:left="360" w:hanging="259"/>
        <w:jc w:val="both"/>
        <w:keepNext w:val="0"/>
        <w:keepLines w:val="0"/>
        <w:widowControl w:val="1"/>
      </w:pPr>
      <w:r>
        <w:t xml:space="preserve">Fabrizio Gilardi, Meysam Alizadeh, and Maël Kubli. 2023.</w:t>
      </w:r>
      <w:r>
        <w:t xml:space="preserve"> </w:t>
      </w:r>
      <w:hyperlink r:id="rId128">
        <w:r>
          <w:rPr>
            <w:rStyle w:val="Hyperlink"/>
          </w:rPr>
          <w:t xml:space="preserve">ChatGPT outperforms crowd workers for text-annotation tasks</w:t>
        </w:r>
      </w:hyperlink>
      <w:r>
        <w:t xml:space="preserve">.</w:t>
      </w:r>
      <w:r>
        <w:t xml:space="preserve"> </w:t>
      </w:r>
      <w:r>
        <w:rPr>
          <w:i/>
          <w:iCs/>
        </w:rPr>
        <w:t xml:space="preserve">Proceedings of the National Academy of Sciences</w:t>
      </w:r>
      <w:r>
        <w:t xml:space="preserve">, 120(30), e2305016120.</w:t>
      </w:r>
    </w:p>
    <w:p>
      <w:pPr>
        <w:pStyle w:val="Compact"/>
        <w:numPr>
          <w:ilvl w:val="0"/>
          <w:numId w:val="1003"/>
        </w:numPr>
        <w:ind w:left="360" w:hanging="259"/>
        <w:jc w:val="both"/>
        <w:keepNext w:val="0"/>
        <w:keepLines w:val="0"/>
        <w:widowControl w:val="1"/>
      </w:pPr>
      <w:r>
        <w:t xml:space="preserve">Jiawei Gu, Xuhui Jiang, Zhichao Shi, Hexiang Tan, Xuehao Zhai, Chengjin Xu, Wei Li, Yinghan Shen, Shengjie Ma, Honghao Liu, Saizhuo Wang, Kun Zhang, Yuanzhuo Wang, and Jian Guo. 2025.</w:t>
      </w:r>
      <w:r>
        <w:t xml:space="preserve"> </w:t>
      </w:r>
      <w:hyperlink r:id="rId129">
        <w:r>
          <w:rPr>
            <w:rStyle w:val="Hyperlink"/>
          </w:rPr>
          <w:t xml:space="preserve">A Survey on LLM-as-a-Judge</w:t>
        </w:r>
      </w:hyperlink>
      <w:r>
        <w:t xml:space="preserve">. arXiv:2411.15594.</w:t>
      </w:r>
    </w:p>
    <w:p>
      <w:pPr>
        <w:pStyle w:val="Compact"/>
        <w:numPr>
          <w:ilvl w:val="0"/>
          <w:numId w:val="1003"/>
        </w:numPr>
        <w:ind w:left="360" w:hanging="259"/>
        <w:jc w:val="both"/>
        <w:keepNext w:val="0"/>
        <w:keepLines w:val="0"/>
        <w:widowControl w:val="1"/>
      </w:pPr>
      <w:r>
        <w:t xml:space="preserve">Liqin Ye, Agam Shah, Chao Zhang, and Sudheer Chava. 2025.</w:t>
      </w:r>
      <w:r>
        <w:t xml:space="preserve"> </w:t>
      </w:r>
      <w:hyperlink r:id="rId130">
        <w:r>
          <w:rPr>
            <w:rStyle w:val="Hyperlink"/>
          </w:rPr>
          <w:t xml:space="preserve">Calibrating Pre-trained Language Classifiers on LLM-generated Noisy Labels via Iterative Refinement</w:t>
        </w:r>
      </w:hyperlink>
      <w:r>
        <w:t xml:space="preserve">. Proceedings of KDD 2025.</w:t>
      </w:r>
    </w:p>
    <w:p>
      <w:pPr>
        <w:pStyle w:val="Compact"/>
        <w:numPr>
          <w:ilvl w:val="0"/>
          <w:numId w:val="1003"/>
        </w:numPr>
        <w:ind w:left="360" w:hanging="259"/>
        <w:jc w:val="both"/>
        <w:keepNext w:val="0"/>
        <w:keepLines w:val="0"/>
        <w:widowControl w:val="1"/>
      </w:pPr>
      <w:r>
        <w:t xml:space="preserve">Wed Akeel Awadh, Rosnafisah Bte Sulaiman, and Moamin A. Mahmoud. 2025.</w:t>
      </w:r>
      <w:r>
        <w:t xml:space="preserve"> </w:t>
      </w:r>
      <w:hyperlink r:id="rId131">
        <w:r>
          <w:rPr>
            <w:rStyle w:val="Hyperlink"/>
          </w:rPr>
          <w:t xml:space="preserve">Aspect-based sentiment analysis in MOOCs: a systematic literature review introducing the MASC-MEF framework</w:t>
        </w:r>
      </w:hyperlink>
      <w:r>
        <w:t xml:space="preserve">.</w:t>
      </w:r>
      <w:r>
        <w:t xml:space="preserve"> </w:t>
      </w:r>
      <w:r>
        <w:rPr>
          <w:i/>
          <w:iCs/>
        </w:rPr>
        <w:t xml:space="preserve">Journal of King Saud University Computer and Information Sciences</w:t>
      </w:r>
      <w:r>
        <w:t xml:space="preserve">.</w:t>
      </w:r>
    </w:p>
    <w:bookmarkEnd w:id="132"/>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7" Type="http://schemas.openxmlformats.org/officeDocument/2006/relationships/hyperlink" Target="https://aclanthology.org/2021.eacl-main.20/" TargetMode="External"/><Relationship Id="rId104" Type="http://schemas.openxmlformats.org/officeDocument/2006/relationships/hyperlink" Target="https://aclanthology.org/2022.lrec-1.219/"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120" Type="http://schemas.openxmlformats.org/officeDocument/2006/relationships/hyperlink" Target="https://arxiv.org/abs/2202.04538" TargetMode="External"/><Relationship Id="rId129" Type="http://schemas.openxmlformats.org/officeDocument/2006/relationships/hyperlink" Target="https://arxiv.org/abs/2411.15594" TargetMode="External"/><Relationship Id="rId130" Type="http://schemas.openxmlformats.org/officeDocument/2006/relationships/hyperlink" Target="https://arxiv.org/abs/2505.19675" TargetMode="External"/><Relationship Id="rId105" Type="http://schemas.openxmlformats.org/officeDocument/2006/relationships/hyperlink" Target="https://arxiv.org/abs/2508.17008" TargetMode="External"/><Relationship Id="rId131" Type="http://schemas.openxmlformats.org/officeDocument/2006/relationships/hyperlink" Target="https://doi.org/10.1007/s44443-025-00018-1" TargetMode="External"/><Relationship Id="rId118" Type="http://schemas.openxmlformats.org/officeDocument/2006/relationships/hyperlink" Target="https://doi.org/10.1016/j.compedu.2020.103965" TargetMode="External"/><Relationship Id="rId126" Type="http://schemas.openxmlformats.org/officeDocument/2006/relationships/hyperlink" Target="https://doi.org/10.1016/j.eswa.2024.125514"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28" Type="http://schemas.openxmlformats.org/officeDocument/2006/relationships/hyperlink" Target="https://doi.org/10.1073/pnas.2305016120"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08" Type="http://schemas.openxmlformats.org/officeDocument/2006/relationships/hyperlink" Target="https://doi.org/10.18653/v1/2021.acl-long.188" TargetMode="External"/><Relationship Id="rId109" Type="http://schemas.openxmlformats.org/officeDocument/2006/relationships/hyperlink" Target="https://doi.org/10.18653/v1/2021.emnlp-main.361" TargetMode="External"/><Relationship Id="rId106" Type="http://schemas.openxmlformats.org/officeDocument/2006/relationships/hyperlink" Target="https://doi.org/10.18653/v1/2021.emnlp-main.362" TargetMode="External"/><Relationship Id="rId119" Type="http://schemas.openxmlformats.org/officeDocument/2006/relationships/hyperlink" Target="https://doi.org/10.18653/v1/2021.findings-acl.84" TargetMode="External"/><Relationship Id="rId121" Type="http://schemas.openxmlformats.org/officeDocument/2006/relationships/hyperlink" Target="https://doi.org/10.18653/v1/2023.acl-long.754" TargetMode="External"/><Relationship Id="rId99" Type="http://schemas.openxmlformats.org/officeDocument/2006/relationships/hyperlink" Target="https://doi.org/10.18653/v1/2023.emnlp-main.647" TargetMode="External"/><Relationship Id="rId98" Type="http://schemas.openxmlformats.org/officeDocument/2006/relationships/hyperlink" Target="https://doi.org/10.18653/v1/2023.findings-acl.612" TargetMode="External"/><Relationship Id="rId122" Type="http://schemas.openxmlformats.org/officeDocument/2006/relationships/hyperlink" Target="https://doi.org/10.18653/v1/2023.wassa-1.3" TargetMode="External"/><Relationship Id="rId123" Type="http://schemas.openxmlformats.org/officeDocument/2006/relationships/hyperlink" Target="https://doi.org/10.18653/v1/2024.eacl-long.167" TargetMode="External"/><Relationship Id="rId127" Type="http://schemas.openxmlformats.org/officeDocument/2006/relationships/hyperlink" Target="https://doi.org/10.18653/v1/2024.findings-acl.658" TargetMode="External"/><Relationship Id="rId124" Type="http://schemas.openxmlformats.org/officeDocument/2006/relationships/hyperlink" Target="https://doi.org/10.18653/v1/2024.findings-naacl.246" TargetMode="External"/><Relationship Id="rId125" Type="http://schemas.openxmlformats.org/officeDocument/2006/relationships/hyperlink" Target="https://doi.org/10.18653/v1/2025.acl-long.752" TargetMode="External"/><Relationship Id="rId97" Type="http://schemas.openxmlformats.org/officeDocument/2006/relationships/hyperlink" Target="https://doi.org/10.18653/v1/N19-1423" TargetMode="External"/><Relationship Id="rId96" Type="http://schemas.openxmlformats.org/officeDocument/2006/relationships/hyperlink" Target="https://doi.org/10.18653/v1/S16-1002" TargetMode="External"/><Relationship Id="rId114" Type="http://schemas.openxmlformats.org/officeDocument/2006/relationships/hyperlink" Target="https://doi.org/10.3102/003465430298487" TargetMode="External"/><Relationship Id="rId95" Type="http://schemas.openxmlformats.org/officeDocument/2006/relationships/hyperlink" Target="https://doi.org/10.3115/v1/S14-2004"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7" Type="http://schemas.openxmlformats.org/officeDocument/2006/relationships/hyperlink" Target="https://aclanthology.org/2021.eacl-main.20/" TargetMode="External"/><Relationship Id="rId104" Type="http://schemas.openxmlformats.org/officeDocument/2006/relationships/hyperlink" Target="https://aclanthology.org/2022.lrec-1.219/"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120" Type="http://schemas.openxmlformats.org/officeDocument/2006/relationships/hyperlink" Target="https://arxiv.org/abs/2202.04538" TargetMode="External"/><Relationship Id="rId129" Type="http://schemas.openxmlformats.org/officeDocument/2006/relationships/hyperlink" Target="https://arxiv.org/abs/2411.15594" TargetMode="External"/><Relationship Id="rId130" Type="http://schemas.openxmlformats.org/officeDocument/2006/relationships/hyperlink" Target="https://arxiv.org/abs/2505.19675" TargetMode="External"/><Relationship Id="rId105" Type="http://schemas.openxmlformats.org/officeDocument/2006/relationships/hyperlink" Target="https://arxiv.org/abs/2508.17008" TargetMode="External"/><Relationship Id="rId131" Type="http://schemas.openxmlformats.org/officeDocument/2006/relationships/hyperlink" Target="https://doi.org/10.1007/s44443-025-00018-1" TargetMode="External"/><Relationship Id="rId118" Type="http://schemas.openxmlformats.org/officeDocument/2006/relationships/hyperlink" Target="https://doi.org/10.1016/j.compedu.2020.103965" TargetMode="External"/><Relationship Id="rId126" Type="http://schemas.openxmlformats.org/officeDocument/2006/relationships/hyperlink" Target="https://doi.org/10.1016/j.eswa.2024.125514"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28" Type="http://schemas.openxmlformats.org/officeDocument/2006/relationships/hyperlink" Target="https://doi.org/10.1073/pnas.2305016120"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08" Type="http://schemas.openxmlformats.org/officeDocument/2006/relationships/hyperlink" Target="https://doi.org/10.18653/v1/2021.acl-long.188" TargetMode="External"/><Relationship Id="rId109" Type="http://schemas.openxmlformats.org/officeDocument/2006/relationships/hyperlink" Target="https://doi.org/10.18653/v1/2021.emnlp-main.361" TargetMode="External"/><Relationship Id="rId106" Type="http://schemas.openxmlformats.org/officeDocument/2006/relationships/hyperlink" Target="https://doi.org/10.18653/v1/2021.emnlp-main.362" TargetMode="External"/><Relationship Id="rId119" Type="http://schemas.openxmlformats.org/officeDocument/2006/relationships/hyperlink" Target="https://doi.org/10.18653/v1/2021.findings-acl.84" TargetMode="External"/><Relationship Id="rId121" Type="http://schemas.openxmlformats.org/officeDocument/2006/relationships/hyperlink" Target="https://doi.org/10.18653/v1/2023.acl-long.754" TargetMode="External"/><Relationship Id="rId99" Type="http://schemas.openxmlformats.org/officeDocument/2006/relationships/hyperlink" Target="https://doi.org/10.18653/v1/2023.emnlp-main.647" TargetMode="External"/><Relationship Id="rId98" Type="http://schemas.openxmlformats.org/officeDocument/2006/relationships/hyperlink" Target="https://doi.org/10.18653/v1/2023.findings-acl.612" TargetMode="External"/><Relationship Id="rId122" Type="http://schemas.openxmlformats.org/officeDocument/2006/relationships/hyperlink" Target="https://doi.org/10.18653/v1/2023.wassa-1.3" TargetMode="External"/><Relationship Id="rId123" Type="http://schemas.openxmlformats.org/officeDocument/2006/relationships/hyperlink" Target="https://doi.org/10.18653/v1/2024.eacl-long.167" TargetMode="External"/><Relationship Id="rId127" Type="http://schemas.openxmlformats.org/officeDocument/2006/relationships/hyperlink" Target="https://doi.org/10.18653/v1/2024.findings-acl.658" TargetMode="External"/><Relationship Id="rId124" Type="http://schemas.openxmlformats.org/officeDocument/2006/relationships/hyperlink" Target="https://doi.org/10.18653/v1/2024.findings-naacl.246" TargetMode="External"/><Relationship Id="rId125" Type="http://schemas.openxmlformats.org/officeDocument/2006/relationships/hyperlink" Target="https://doi.org/10.18653/v1/2025.acl-long.752" TargetMode="External"/><Relationship Id="rId97" Type="http://schemas.openxmlformats.org/officeDocument/2006/relationships/hyperlink" Target="https://doi.org/10.18653/v1/N19-1423" TargetMode="External"/><Relationship Id="rId96" Type="http://schemas.openxmlformats.org/officeDocument/2006/relationships/hyperlink" Target="https://doi.org/10.18653/v1/S16-1002" TargetMode="External"/><Relationship Id="rId114" Type="http://schemas.openxmlformats.org/officeDocument/2006/relationships/hyperlink" Target="https://doi.org/10.3102/003465430298487" TargetMode="External"/><Relationship Id="rId95" Type="http://schemas.openxmlformats.org/officeDocument/2006/relationships/hyperlink" Target="https://doi.org/10.3115/v1/S14-2004"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2026-06-13T11:39:22Z</dcterms:created>
  <dcterms:modified xsi:type="dcterms:W3CDTF">2026-06-13T11:39:22Z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