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and where label noise remains. The study therefore contributes a synthetic educational ABSA corpus, a documented generation procedure, and a reproducible benchmark setting for a domain in which public labeled data remain difficult to obtain.</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160" w:after="60" w:line="240" w:lineRule="auto"/>
        <w:jc w:val="center"/>
        <w:keepNext/>
        <w:keepLines/>
        <w:widowControl w:val="1"/>
      </w:pPr>
      <w:r>
        <w:t xml:space="preserve">Table 1. 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 source and focus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Label granularity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Relation to this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comments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Establishes pedagogical relevance, but not a public multi-aspect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Chathuranga et al.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course feedback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Opinion targets and polarity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Shows feasibility of real educational annotation, but with narrower task scope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feedback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 opinion-term, and polarity annotations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Closest educational benchmark reference and strongest evidence of annotation cost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Nikolić et al. [9]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Higher-education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Aspect-based review analysis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Shows source sensitivity and motivates explicit realism validation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This study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 course reviews with separate realism and mapped real-transfer validation sets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20-aspect benchmark corpus, controllable prompt protocol, realism study, and conservative 9-aspect transfer check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Positions the contribution as synthetic supervision with initial external validation rather than a replacement for real annotated corpora</w:t>
            </w:r>
          </w:p>
        </w:tc>
      </w:tr>
    </w:tbl>
    <w:p>
      <w:pPr>
        <w:pStyle w:val="BodyText"/>
        <w:spacing w:before="16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outputs/figures/_docx_png/synthetic_data_generation_pipeline.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2. 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outputs/figures/_docx_png/absa_analysis_pipeline.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3. 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160" w:after="60" w:line="240" w:lineRule="auto"/>
        <w:jc w:val="center"/>
        <w:keepNext/>
        <w:keepLines/>
        <w:widowControl w:val="1"/>
      </w:pPr>
      <w:r>
        <w:t xml:space="preserve">Table 2. 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Representative attributes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Function in the generation protocol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Core context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course_name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course_level</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semester_stage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student_background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Places the review in a recognizable educational situation so the same labels can appear under different student positions and course settings.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teaching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assessment_profile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instruction_delivery</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support_channel_experience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feedback_timing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Changes the pedagogical substance of the review by varying what the student is reacting to, not only how the review sounds.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Linguistic diversity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writing_style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emotional_temperature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hedging_level</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review_length_band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Changes tone, compression, and rhetorical texture while preserving the declared aspect-sentiment targets.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Realism controls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review_shape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contradiction_pattern</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memory_anchor</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natural_noise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Discourages checklist-like coverage and overbalanced summaries by introducing the small irregularities common in human reviews.</w:t>
            </w:r>
          </w:p>
        </w:tc>
      </w:tr>
    </w:tbl>
    <w:p>
      <w:pPr>
        <w:pStyle w:val="BodyText"/>
        <w:spacing w:before="16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jc w:val="both"/>
        <w:keepNext w:val="0"/>
        <w:keepLines w:val="0"/>
        <w:widowControl w:val="1"/>
      </w:pPr>
      <w:r>
        <w:t xml:space="preserve">$</w:t>
      </w: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w:r>
        <w:t xml:space="preserve">$</w:t>
      </w:r>
    </w:p>
    <w:p>
      <w:pPr>
        <w:pStyle w:val="BodyText"/>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jc w:val="both"/>
        <w:keepNext w:val="0"/>
        <w:keepLines w:val="0"/>
        <w:widowControl w:val="1"/>
      </w:pPr>
      <w:r>
        <w:t xml:space="preserve">$</w:t>
      </w: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w:r>
        <w:t xml:space="preserve">$</w:t>
      </w:r>
    </w:p>
    <w:p>
      <w:pPr>
        <w:pStyle w:val="BodyText"/>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160" w:after="60" w:line="240" w:lineRule="auto"/>
        <w:jc w:val="center"/>
        <w:keepNext/>
        <w:keepLines/>
        <w:widowControl w:val="1"/>
      </w:pPr>
      <w:r>
        <w:t xml:space="preserve">Table 3. 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Modeling idea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Representative variants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 in the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Classical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 sparse lexical detector plus sentiment regressor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Main benchmark</w:t>
            </w:r>
            <w:r>
              <w:rPr>
                <w:rFonts w:ascii="Times New Roman" w:hAnsi="Times New Roman"/>
                <w:sz w:val="20"/>
              </w:rPr>
              <w:br/>
            </w:r>
            <w:r>
              <w:rPr>
                <w:rFonts w:ascii="Times New Roman" w:hAnsi="Times New Roman"/>
                <w:sz w:val="20"/>
              </w:rPr>
              <w:t xml:space="preserve">Low-cost reference point under the same validation and test contract.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Transformer encoders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 supervised detection and sentiment models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bert-base-uncased</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albert-base-v2</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roberta-base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Main benchmark</w:t>
            </w:r>
            <w:r>
              <w:rPr>
                <w:rFonts w:ascii="Times New Roman" w:hAnsi="Times New Roman"/>
                <w:sz w:val="20"/>
              </w:rPr>
              <w:br/>
            </w:r>
            <w:r>
              <w:rPr>
                <w:rFonts w:ascii="Times New Roman" w:hAnsi="Times New Roman"/>
                <w:sz w:val="20"/>
              </w:rPr>
              <w:t xml:space="preserve">Primary discriminative comparison family on the full 10K / 20-aspect split.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prediction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 model predicts aspect presence and polarity together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Executed comparison</w:t>
            </w:r>
            <w:r>
              <w:rPr>
                <w:rFonts w:ascii="Times New Roman" w:hAnsi="Times New Roman"/>
                <w:sz w:val="20"/>
              </w:rPr>
              <w:br/>
            </w:r>
            <w:r>
              <w:rPr>
                <w:rFonts w:ascii="Times New Roman" w:hAnsi="Times New Roman"/>
                <w:sz w:val="20"/>
              </w:rPr>
              <w:t xml:space="preserve">Used to test whether a compact joint formulation can match the stronger two-step decomposition.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GPT-based inference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Structured generation with demonstrations or retrieval context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zero-shot, few-shot, few-shot-diverse,</w:t>
            </w:r>
            <w:r>
              <w:rPr>
                <w:rFonts w:ascii="Times New Roman" w:hAnsi="Times New Roman"/>
                <w:sz w:val="20"/>
              </w:rPr>
              <w:t xml:space="preserve"> </w:t>
            </w:r>
            <w:r>
              <w:rPr>
                <w:rStyle w:val="VerbatimChar"/>
                <w:rFonts w:ascii="Times New Roman" w:hAnsi="Times New Roman"/>
                <w:sz w:val="20"/>
              </w:rPr>
              <w:t xml:space="preserve">retrieval-few-shot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Executed comparison</w:t>
            </w:r>
            <w:r>
              <w:rPr>
                <w:rFonts w:ascii="Times New Roman" w:hAnsi="Times New Roman"/>
                <w:sz w:val="20"/>
              </w:rPr>
              <w:br/>
            </w:r>
            <w:r>
              <w:rPr>
                <w:rFonts w:ascii="Times New Roman" w:hAnsi="Times New Roman"/>
                <w:sz w:val="20"/>
              </w:rPr>
              <w:t xml:space="preserve">Inference-only ABSA baselines under the same structured aspect-sentiment contract and the full held-out test split.</w:t>
            </w:r>
          </w:p>
        </w:tc>
      </w:tr>
    </w:tbl>
    <w:p>
      <w:pPr>
        <w:pStyle w:val="BodyText"/>
        <w:spacing w:before="16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160" w:after="60" w:line="240" w:lineRule="auto"/>
        <w:jc w:val="center"/>
        <w:keepNext/>
        <w:keepLines/>
        <w:widowControl w:val="1"/>
      </w:pPr>
      <w:r>
        <w:t xml:space="preserve">Table 4. 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Measure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Clean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Usable synthetic records in the final corpus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validation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OMSCS reviews used only for the realism-validation loop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external test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Annotated student-feedback reviews from Herath et al. used only for synthetic-to-real evaluation on a 9-aspect overlap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Course names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 academic contexts rather than a single course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Observed writing styles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Style-conditioned prompting remains present in the assembled dataset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 inventory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benchmark runs directly on the 20-aspect pedagogical schema listed in Appendix A.1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 median words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117.2 / 108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corpus mixes short comments with longer reflective reviews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aspects per review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Many reviews are genuinely multi-aspect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Min-max words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34-273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651"/>
            <wp:effectExtent b="0" l="0" r="0" t="0"/>
            <wp:docPr descr="Realism improvement curve" title="" id="31" name="Picture"/>
            <a:graphic>
              <a:graphicData uri="http://schemas.openxmlformats.org/drawingml/2006/picture">
                <pic:pic>
                  <pic:nvPicPr>
                    <pic:cNvPr descr="outputs/figures/_docx_png/realism_improvement_curve.png" id="32" name="Picture"/>
                    <pic:cNvPicPr>
                      <a:picLocks noChangeArrowheads="1" noChangeAspect="1"/>
                    </pic:cNvPicPr>
                  </pic:nvPicPr>
                  <pic:blipFill>
                    <a:blip r:embed="rId30"/>
                    <a:stretch>
                      <a:fillRect/>
                    </a:stretch>
                  </pic:blipFill>
                  <pic:spPr bwMode="auto">
                    <a:xfrm>
                      <a:off x="0" y="0"/>
                      <a:ext cx="5943600" cy="1731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 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jc w:val="both"/>
        <w:keepNext w:val="0"/>
        <w:keepLines w:val="0"/>
        <w:widowControl w:val="1"/>
      </w:pPr>
      <w:r>
        <w:t xml:space="preserve">A real-versus-synthetic validation harness with cycle-by-cycle prompt-debug logging.</w:t>
      </w:r>
    </w:p>
    <w:p>
      <w:pPr>
        <w:pStyle w:val="Compact"/>
        <w:numPr>
          <w:ilvl w:val="0"/>
          <w:numId w:val="1002"/>
        </w:numPr>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68"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outputs/figures/_docx_png/production_aspect_sentiment_heatmap.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4. 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955"/>
            <wp:effectExtent b="0" l="0" r="0" t="0"/>
            <wp:docPr descr="Corpus profile" title="" id="40" name="Picture"/>
            <a:graphic>
              <a:graphicData uri="http://schemas.openxmlformats.org/drawingml/2006/picture">
                <pic:pic>
                  <pic:nvPicPr>
                    <pic:cNvPr descr="outputs/figures/_docx_png/production_dataset_profile.png" id="41" name="Picture"/>
                    <pic:cNvPicPr>
                      <a:picLocks noChangeArrowheads="1" noChangeAspect="1"/>
                    </pic:cNvPicPr>
                  </pic:nvPicPr>
                  <pic:blipFill>
                    <a:blip r:embed="rId39"/>
                    <a:stretch>
                      <a:fillRect/>
                    </a:stretch>
                  </pic:blipFill>
                  <pic:spPr bwMode="auto">
                    <a:xfrm>
                      <a:off x="0" y="0"/>
                      <a:ext cx="5943600" cy="387795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5. 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160" w:after="60" w:line="240" w:lineRule="auto"/>
        <w:jc w:val="center"/>
        <w:keepNext/>
        <w:keepLines/>
        <w:widowControl w:val="1"/>
      </w:pPr>
      <w:r>
        <w:t xml:space="preserve">Table 5. 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Style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labels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Excerpt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Tradeoff-heavy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Neutral everyday prose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difficulty=positive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materials=positive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took Computer Networks mainly to fit my schedule ... the material felt accessible at times ... Dr. Chen’s delivery varies week to week ... the LMS was smooth, but feedback came too late to be useful."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Compressed complaint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Analytic but Simple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interest=negative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stuck with Cyber Security Basics only when I needed it ... the lead-in theory never clicked for me ... the few but heavy deadlines left me frustrated but still fair about the effort."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Pedagogical frustration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Analytic but Simple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assessment_design=negative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relevance=negative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160" w:after="60" w:line="240" w:lineRule="auto"/>
        <w:jc w:val="center"/>
        <w:keepNext/>
        <w:keepLines/>
        <w:widowControl w:val="1"/>
      </w:pPr>
      <w:r>
        <w:t xml:space="preserve">Table 6. 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Analysis block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 and 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Primary outputs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Interpretive role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 generated reviews with an 8,000 / 1,000 / 1,000 train-validation-test split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Detection F1, sentiment MSE, runtime, per-aspect summaries, and robustness analyses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Principal evidence for learnability and model comparison on the 20-aspect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GPT-based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same 1,000-review held-out synthetic test split, evaluated through batch prompting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Structured sparse JSON predictions and full-test detection/sentiment metrics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Inference-time comparison under the same label contract as the learned local models.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mapped evaluation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 mapped Herath student-feedback reviews over the shared 9-aspect overlap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Transfer metrics, overlap support counts, and overlap-matched synthetic-versus-real comparisons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Conservative real-data check on whether synthetic supervision connects to one annotated educational feedback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study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Three 60-item cycles built from public OMSCS reviews and matched synthetic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Judge accuracy, confusion, entropy, cue tags, and prompt-state transitions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Generator-side validation showing how realism cues were diagnosed and reduced across cycles.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Faithfulness audit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 250-review full-corpus sample plus the 25-review pilot subset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Aspect support rates and sentiment-match rates between declared labels and textual evidence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Clarifies how the benchmark should be interpreted as a useful but imperfect supervised resource.</w:t>
            </w:r>
          </w:p>
        </w:tc>
      </w:tr>
    </w:tbl>
    <w:p>
      <w:pPr>
        <w:pStyle w:val="BodyText"/>
        <w:spacing w:before="16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160" w:after="60" w:line="240" w:lineRule="auto"/>
        <w:jc w:val="center"/>
        <w:keepNext/>
        <w:keepLines/>
        <w:widowControl w:val="1"/>
      </w:pPr>
      <w:r>
        <w:t xml:space="preserve">Table 7. 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Runtime (min)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albert-base-v2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roberta-base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0.1828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0.6838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22.19</w:t>
            </w:r>
          </w:p>
        </w:tc>
      </w:tr>
    </w:tbl>
    <w:p>
      <w:pPr>
        <w:pStyle w:val="BodyText"/>
        <w:jc w:val="center"/>
        <w:keepNext/>
        <w:keepLines/>
        <w:widowControl w:val="1"/>
      </w:pPr>
      <w:r>
        <w:drawing>
          <wp:inline>
            <wp:extent cx="5943600" cy="2244622"/>
            <wp:effectExtent b="0" l="0" r="0" t="0"/>
            <wp:docPr descr="Benchmark comparison" title="" id="45" name="Picture"/>
            <a:graphic>
              <a:graphicData uri="http://schemas.openxmlformats.org/drawingml/2006/picture">
                <pic:pic>
                  <pic:nvPicPr>
                    <pic:cNvPr descr="outputs/figures/_docx_png/production_method_comparison.png" id="46" name="Picture"/>
                    <pic:cNvPicPr>
                      <a:picLocks noChangeArrowheads="1" noChangeAspect="1"/>
                    </pic:cNvPicPr>
                  </pic:nvPicPr>
                  <pic:blipFill>
                    <a:blip r:embed="rId44"/>
                    <a:stretch>
                      <a:fillRect/>
                    </a:stretch>
                  </pic:blipFill>
                  <pic:spPr bwMode="auto">
                    <a:xfrm>
                      <a:off x="0" y="0"/>
                      <a:ext cx="5943600" cy="22446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6. 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few-shot-diverse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0.2261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0.2946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0.7386</w:t>
            </w:r>
          </w:p>
        </w:tc>
      </w:tr>
    </w:tbl>
    <w:p>
      <w:pPr>
        <w:pStyle w:val="BodyText"/>
        <w:spacing w:before="16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6111"/>
            <wp:effectExtent b="0" l="0" r="0" t="0"/>
            <wp:docPr descr="Best-model per-aspect benchmark" title="" id="50" name="Picture"/>
            <a:graphic>
              <a:graphicData uri="http://schemas.openxmlformats.org/drawingml/2006/picture">
                <pic:pic>
                  <pic:nvPicPr>
                    <pic:cNvPr descr="outputs/figures/_docx_png/production_best_model_per_aspect.png" id="51" name="Picture"/>
                    <pic:cNvPicPr>
                      <a:picLocks noChangeArrowheads="1" noChangeAspect="1"/>
                    </pic:cNvPicPr>
                  </pic:nvPicPr>
                  <pic:blipFill>
                    <a:blip r:embed="rId49"/>
                    <a:stretch>
                      <a:fillRect/>
                    </a:stretch>
                  </pic:blipFill>
                  <pic:spPr bwMode="auto">
                    <a:xfrm>
                      <a:off x="0" y="0"/>
                      <a:ext cx="5943600" cy="42561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7. 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160" w:after="60" w:line="240" w:lineRule="auto"/>
        <w:jc w:val="center"/>
        <w:keepNext/>
        <w:keepLines/>
        <w:widowControl w:val="1"/>
      </w:pPr>
      <w:r>
        <w:t xml:space="preserve">Table 8. 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Precision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0.3981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0.5189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tooling_usability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feedback_quality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0.4889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support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peer_interaction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0.1385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0.8416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0.3913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 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Overlap aspects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0.4017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r>
    </w:tbl>
    <w:p>
      <w:pPr>
        <w:pStyle w:val="BodyText"/>
        <w:jc w:val="center"/>
        <w:keepNext/>
        <w:keepLines/>
        <w:widowControl w:val="1"/>
      </w:pPr>
      <w:r>
        <w:drawing>
          <wp:inline>
            <wp:extent cx="5943600" cy="2120249"/>
            <wp:effectExtent b="0" l="0" r="0" t="0"/>
            <wp:docPr descr="External validation on mapped real student feedback" title="" id="54" name="Picture"/>
            <a:graphic>
              <a:graphicData uri="http://schemas.openxmlformats.org/drawingml/2006/picture">
                <pic:pic>
                  <pic:nvPicPr>
                    <pic:cNvPr descr="outputs/figures/_docx_png/real_transfer_overview.png" id="55" name="Picture"/>
                    <pic:cNvPicPr>
                      <a:picLocks noChangeArrowheads="1" noChangeAspect="1"/>
                    </pic:cNvPicPr>
                  </pic:nvPicPr>
                  <pic:blipFill>
                    <a:blip r:embed="rId53"/>
                    <a:stretch>
                      <a:fillRect/>
                    </a:stretch>
                  </pic:blipFill>
                  <pic:spPr bwMode="auto">
                    <a:xfrm>
                      <a:off x="0" y="0"/>
                      <a:ext cx="5943600" cy="21202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8. 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6603"/>
            <wp:effectExtent b="0" l="0" r="0" t="0"/>
            <wp:docPr descr="Overlap-matched internal versus external comparison" title="" id="57" name="Picture"/>
            <a:graphic>
              <a:graphicData uri="http://schemas.openxmlformats.org/drawingml/2006/picture">
                <pic:pic>
                  <pic:nvPicPr>
                    <pic:cNvPr descr="outputs/figures/_docx_png/overlap_internal_vs_external_f1.png" id="58" name="Picture"/>
                    <pic:cNvPicPr>
                      <a:picLocks noChangeArrowheads="1" noChangeAspect="1"/>
                    </pic:cNvPicPr>
                  </pic:nvPicPr>
                  <pic:blipFill>
                    <a:blip r:embed="rId56"/>
                    <a:stretch>
                      <a:fillRect/>
                    </a:stretch>
                  </pic:blipFill>
                  <pic:spPr bwMode="auto">
                    <a:xfrm>
                      <a:off x="0" y="0"/>
                      <a:ext cx="5943600" cy="32066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9. 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Synthetic overlap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Mapped real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real minus synthetic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Synthetic overlap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Mapped real 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0.3811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0.6519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Setting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Reported 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Comparability to this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comments with automatically extracted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0.586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 toward courses and instructors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entity-targeted sentiment is narrower than review-level 20-aspect ABSA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comments with ground-truth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0.695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 with gold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useful upper-bound reference, but not a directly matched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feedback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Aspect-level sentiment analysis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Medium; closest real educational sentiment benchmark, but different label unit and task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feedback best tree-based ALSC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0.710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Aspect-level sentiment classification with FT-RoBERTa induced RGAT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Medium; stronger educational baseline under their own annotation protocol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This study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Mapped Herath overlap after synthetic training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micro-F1 = 0.4593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Synthetic-to-real transfer on a 9-aspect overlap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Medium; the closest comparison here because it uses real educational reviews, but it still depends on conservative aspect mapping</w:t>
            </w:r>
          </w:p>
        </w:tc>
      </w:tr>
    </w:tbl>
    <w:p>
      <w:pPr>
        <w:pStyle w:val="BodyText"/>
        <w:spacing w:before="16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Declared aspects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sentiment-match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sentiment-match 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10K sample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0.2120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Pilot sample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0.7727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0.2800</w:t>
            </w:r>
          </w:p>
        </w:tc>
      </w:tr>
    </w:tbl>
    <w:p>
      <w:pPr>
        <w:pStyle w:val="BodyText"/>
        <w:spacing w:before="16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160" w:after="60" w:line="240" w:lineRule="auto"/>
        <w:jc w:val="center"/>
        <w:keepNext/>
        <w:keepLines/>
        <w:widowControl w:val="1"/>
      </w:pPr>
      <w:r>
        <w:t xml:space="preserve">Table 9. 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Prompt 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Cycle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accuracy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confusion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entropy (bits)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Binomial p-value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Editor triggered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rich_attributes_baseline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reduce_synthetic_signatures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messier_realism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0.4333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0.6430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w:t>
            </w:r>
          </w:p>
        </w:tc>
      </w:tr>
    </w:tbl>
    <w:p>
      <w:pPr>
        <w:pStyle w:val="BodyText"/>
        <w:spacing w:before="16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outputs/figures/_docx_png/realism_validation_pipeline.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10. The realism-validation loop. A judge evaluates one blended pool of real and synthetic reviews, the resulting metrics and cue evidence are summarized, and prompt revision affects the next cycle.</w:t>
      </w:r>
    </w:p>
    <w:bookmarkEnd w:id="66"/>
    <w:bookmarkStart w:id="67"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and partial transfer to one real educational corpus, while the label-faithfulness audit clarifies how the benchmark can be interpreted productively as a useful but noisy resource.</w:t>
      </w:r>
    </w:p>
    <w:bookmarkEnd w:id="67"/>
    <w:bookmarkEnd w:id="68"/>
    <w:bookmarkStart w:id="72"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69"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the label-faithfulness audit indicates that many declared aspect polarities are expressed only approximately in the generated text, so the corpus is best treated as a useful noisy benchmark rather than as a gold-standard annotation set.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69"/>
    <w:bookmarkStart w:id="70"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three complementary roles in this setting. First, it lowers the cost of</w:t>
      </w:r>
      <w:r>
        <w:t xml:space="preserve"> </w:t>
      </w:r>
      <w:r>
        <w:rPr>
          <w:i/>
          <w:iCs/>
        </w:rPr>
        <w:t xml:space="preserve">model bootstrapping</w:t>
      </w:r>
      <w:r>
        <w:t xml:space="preserve">. Programs that cannot fund the per-comment annotation required for a private ABSA model can pretrain on synthetic data calibrated to their own aspect schema and fine-tune on a small adjudicated slice of real reviews. Second, it supports</w:t>
      </w:r>
      <w:r>
        <w:t xml:space="preserve"> </w:t>
      </w:r>
      <w:r>
        <w:rPr>
          <w:i/>
          <w:iCs/>
        </w:rPr>
        <w:t xml:space="preserve">longitudinal monitoring</w:t>
      </w:r>
      <w:r>
        <w:t xml:space="preserve">. Course-improvement cycles benefit from comparable aspect distributions across terms, instructors, and cohorts; a documented synthetic benchmark gives the modeling layer a stable yardstick against which a department-specific model can be tracked. Third, it allows</w:t>
      </w:r>
      <w:r>
        <w:t xml:space="preserve"> </w:t>
      </w:r>
      <w:r>
        <w:rPr>
          <w:i/>
          <w:iCs/>
        </w:rPr>
        <w:t xml:space="preserve">controlled stress-testing</w:t>
      </w:r>
      <w:r>
        <w:t xml:space="preserve">. By construction the synthetic corpus exposes minority aspects (e.g.</w:t>
      </w:r>
      <w:r>
        <w:t xml:space="preserve">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so it can act as a probing set for known coverage gaps. None of these uses presume that synthetic supervision replaces human annotation; rather, the corpus is a scaffold that makes the model-development stage cheaper and the evaluation stage more reproducible.</w:t>
      </w:r>
    </w:p>
    <w:p>
      <w:pPr>
        <w:pStyle w:val="BodyText"/>
        <w:jc w:val="both"/>
        <w:keepNext w:val="0"/>
        <w:keepLines w:val="0"/>
        <w:widowControl w:val="1"/>
      </w:pPr>
      <w:r>
        <w:t xml:space="preserve">The label-faithfulness audit constrains those use cases. With overall aspect-sentiment match at 0.42 on a 250-review sample, the corpus should be treated as a noisy training resource rather than as a calibrated ground truth, and any deployment built on top of it should be checked against locally adjudicated examples before consequential decisions, especially for sentiment polarity. The faithfulness-aware filtering extension flagged in Section 7.1 is the natural next step for institutional users who plan to base course-improvement signals on the model's outputs.</w:t>
      </w:r>
    </w:p>
    <w:bookmarkEnd w:id="70"/>
    <w:bookmarkStart w:id="71"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1"/>
    <w:bookmarkEnd w:id="72"/>
    <w:bookmarkStart w:id="73"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3"/>
    <w:bookmarkStart w:id="96" w:name="appendix"/>
    <w:p>
      <w:pPr>
        <w:pStyle w:val="Heading2"/>
        <w:keepNext/>
        <w:keepLines/>
        <w:widowControl w:val="1"/>
      </w:pPr>
      <w:r>
        <w:t xml:space="preserve">Appendix</w:t>
      </w:r>
    </w:p>
    <w:bookmarkStart w:id="7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BodyText"/>
        <w:jc w:val="both"/>
        <w:keepNext w:val="0"/>
        <w:keepLines w:val="0"/>
        <w:widowControl w:val="1"/>
      </w:pPr>
      <w:r>
        <w:t xml:space="preserve">Table A1. 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understandable the teaching and explanations feel.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lecturer_quality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quality of the lecturer or lead instructor.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Usefulness of slides, notes, readings, and resources.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feedback_quality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Usefulness and timeliness of feedback on student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exams feel aligned and fair.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Alignment and structure of assignments, projects, and exams.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clearly grading criteria, rubrics, and score interpretation are communicated.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Administrative clarity, course structure, and coordination.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tooling_usability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Friction or support created by LMS, submission systems, and required software.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difficulty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Conceptual or technical challenge of the course.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Amount of sustained effort required across the term.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the course tempo and weekly rhythm are manageable.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prerequisite_fit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well the course matches the advertised prerequisite level and student preparation.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support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Quality of help from instructor, TAs, or forums.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accessibility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accessibility and inclusiveness of materials, pace, and course participation.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peer_interaction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peer discussion, teamwork, and class community help or hinder learning.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relevance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usefulness to the program or future goals.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Level of engagement or curiosity the course creates.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practical_application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Connection to real-world practice or authentic tasks.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overall_experience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Global student impression after tradeoffs.</w:t>
            </w:r>
          </w:p>
        </w:tc>
      </w:tr>
    </w:tbl>
    <w:bookmarkEnd w:id="74"/>
    <w:bookmarkStart w:id="7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BodyText"/>
        <w:jc w:val="both"/>
        <w:keepNext w:val="0"/>
        <w:keepLines w:val="0"/>
        <w:widowControl w:val="1"/>
      </w:pPr>
      <w:r>
        <w:t xml:space="preserve">Table A2. 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 text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Annotation context</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Pair 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real review used only as a blinded realism-validation item.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Synthetic</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20"/>
              </w:rPr>
              <w:t xml:space="preserve">{"lecturer_quality": "negative", "relevance": "positive"}</w:t>
            </w:r>
          </w:p>
          <w:p>
            <w:pPr>
              <w:pStyle w:val="Compact"/>
              <w:spacing w:before="0" w:after="20" w:line="240" w:lineRule="auto"/>
              <w:jc w:val="center"/>
              <w:keepNext w:val="0"/>
              <w:keepLines/>
              <w:widowControl w:val="1"/>
            </w:pPr>
            <w:r>
              <w:rPr>
                <w:rFonts w:ascii="Times New Roman" w:hAnsi="Times New Roman"/>
                <w:sz w:val="20"/>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20"/>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Pair 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real review used only as a blinded realism-validation item.</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w:t>
            </w:r>
          </w:p>
        </w:tc>
        <w:tc>
          <w:tcPr>
            <w:tcBorders>
              <w:left w:val="single" w:sz="4" w:color="D9E1E8"/>
              <w:right w:val="single" w:sz="4" w:color="D9E1E8"/>
              <w:top w:val="single" w:sz="4" w:color="D9E1E8"/>
              <w:bottom w:val="nil"/>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20"/>
              </w:rPr>
              <w:t xml:space="preserve">{"interest": "positive", "accessibility": "negative"}</w:t>
            </w:r>
          </w:p>
          <w:p>
            <w:pPr>
              <w:pStyle w:val="Compact"/>
              <w:spacing w:before="0" w:after="20" w:line="240" w:lineRule="auto"/>
              <w:jc w:val="center"/>
              <w:keepNext w:val="0"/>
              <w:keepLines/>
              <w:widowControl w:val="1"/>
            </w:pPr>
            <w:r>
              <w:rPr>
                <w:rFonts w:ascii="Times New Roman" w:hAnsi="Times New Roman"/>
                <w:sz w:val="20"/>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20"/>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5"/>
    <w:bookmarkStart w:id="7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BodyText"/>
        <w:jc w:val="both"/>
        <w:keepNext w:val="0"/>
        <w:keepLines w:val="0"/>
        <w:widowControl w:val="1"/>
      </w:pPr>
      <w:r>
        <w:t xml:space="preserve">Table A3. 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Prompt instruction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Baseline cycle-0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with uneven detail. Avoid textbook sentiment wording, avoid obvious label leakage, and keep the tone consistent with the sampled student persona.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Cycle-1 stable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Cycle-2 stable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Final generation instruction</w:t>
            </w:r>
          </w:p>
        </w:tc>
        <w:tc>
          <w:tcPr>
            <w:tcBorders>
              <w:left w:val="single" w:sz="4" w:color="D9E1E8"/>
              <w:right w:val="single" w:sz="4" w:color="D9E1E8"/>
              <w:top w:val="single" w:sz="4" w:color="D9E1E8"/>
              <w:bottom w:val="nil"/>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You are writing one realistic student course review for research validation.</w:t>
            </w:r>
            <w:r>
              <w:rPr>
                <w:rFonts w:ascii="Times New Roman" w:hAnsi="Times New Roman"/>
                <w:sz w:val="20"/>
              </w:rPr>
              <w:br/>
            </w:r>
            <w:r>
              <w:rPr>
                <w:rStyle w:val="VerbatimChar"/>
                <w:rFonts w:ascii="Times New Roman" w:hAnsi="Times New Roman"/>
                <w:sz w:val="20"/>
              </w:rPr>
              <w:t xml:space="preserve">The review must feel like a naturally written student comment rather than a labeled synthetic sample.</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Target aspect sentiments:</w:t>
            </w:r>
            <w:r>
              <w:rPr>
                <w:rFonts w:ascii="Times New Roman" w:hAnsi="Times New Roman"/>
                <w:sz w:val="20"/>
              </w:rPr>
              <w:br/>
            </w:r>
            <w:r>
              <w:rPr>
                <w:rStyle w:val="VerbatimChar"/>
                <w:rFonts w:ascii="Times New Roman" w:hAnsi="Times New Roman"/>
                <w:sz w:val="20"/>
              </w:rPr>
              <w:t xml:space="preserve">{aspect_block}</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Target attributes:</w:t>
            </w:r>
            <w:r>
              <w:rPr>
                <w:rFonts w:ascii="Times New Roman" w:hAnsi="Times New Roman"/>
                <w:sz w:val="20"/>
              </w:rPr>
              <w:br/>
            </w:r>
            <w:r>
              <w:rPr>
                <w:rStyle w:val="VerbatimChar"/>
                <w:rFonts w:ascii="Times New Roman" w:hAnsi="Times New Roman"/>
                <w:sz w:val="20"/>
              </w:rPr>
              <w:t xml:space="preserve">{attribute_block}</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Requirements:</w:t>
            </w:r>
            <w:r>
              <w:rPr>
                <w:rFonts w:ascii="Times New Roman" w:hAnsi="Times New Roman"/>
                <w:sz w:val="20"/>
              </w:rPr>
              <w:br/>
            </w:r>
            <w:r>
              <w:rPr>
                <w:rStyle w:val="VerbatimChar"/>
                <w:rFonts w:ascii="Times New Roman" w:hAnsi="Times New Roman"/>
                <w:sz w:val="20"/>
              </w:rPr>
              <w:t xml:space="preserve">- Keep the review first-person and specific.</w:t>
            </w:r>
            <w:r>
              <w:rPr>
                <w:rFonts w:ascii="Times New Roman" w:hAnsi="Times New Roman"/>
                <w:sz w:val="20"/>
              </w:rPr>
              <w:br/>
            </w:r>
            <w:r>
              <w:rPr>
                <w:rStyle w:val="VerbatimChar"/>
                <w:rFonts w:ascii="Times New Roman" w:hAnsi="Times New Roman"/>
                <w:sz w:val="20"/>
              </w:rPr>
              <w:t xml:space="preserve">- Do not mention aspect labels or sentiment labels explicitly.</w:t>
            </w:r>
            <w:r>
              <w:rPr>
                <w:rFonts w:ascii="Times New Roman" w:hAnsi="Times New Roman"/>
                <w:sz w:val="20"/>
              </w:rPr>
              <w:br/>
            </w:r>
            <w:r>
              <w:rPr>
                <w:rStyle w:val="VerbatimChar"/>
                <w:rFonts w:ascii="Times New Roman" w:hAnsi="Times New Roman"/>
                <w:sz w:val="20"/>
              </w:rPr>
              <w:t xml:space="preserve">- Do not force a tidy conclusion.</w:t>
            </w:r>
            <w:r>
              <w:rPr>
                <w:rFonts w:ascii="Times New Roman" w:hAnsi="Times New Roman"/>
                <w:sz w:val="20"/>
              </w:rPr>
              <w:br/>
            </w:r>
            <w:r>
              <w:rPr>
                <w:rStyle w:val="VerbatimChar"/>
                <w:rFonts w:ascii="Times New Roman" w:hAnsi="Times New Roman"/>
                <w:sz w:val="20"/>
              </w:rPr>
              <w:t xml:space="preserve">- Do not cover every aspect with the same level of detail.</w:t>
            </w:r>
            <w:r>
              <w:rPr>
                <w:rFonts w:ascii="Times New Roman" w:hAnsi="Times New Roman"/>
                <w:sz w:val="20"/>
              </w:rPr>
              <w:br/>
            </w:r>
            <w:r>
              <w:rPr>
                <w:rStyle w:val="VerbatimChar"/>
                <w:rFonts w:ascii="Times New Roman" w:hAnsi="Times New Roman"/>
                <w:sz w:val="20"/>
              </w:rPr>
              <w:t xml:space="preserve">- Let at least one point feel incidental rather than checklist-driven.</w:t>
            </w:r>
            <w:r>
              <w:rPr>
                <w:rFonts w:ascii="Times New Roman" w:hAnsi="Times New Roman"/>
                <w:sz w:val="20"/>
              </w:rPr>
              <w:br/>
            </w:r>
            <w:r>
              <w:rPr>
                <w:rStyle w:val="VerbatimChar"/>
                <w:rFonts w:ascii="Times New Roman" w:hAnsi="Times New Roman"/>
                <w:sz w:val="20"/>
              </w:rPr>
              <w:t xml:space="preserve">- Preserve mixed feelings when the attributes imply them.</w:t>
            </w:r>
            <w:r>
              <w:rPr>
                <w:rFonts w:ascii="Times New Roman" w:hAnsi="Times New Roman"/>
                <w:sz w:val="20"/>
              </w:rPr>
              <w:br/>
            </w:r>
            <w:r>
              <w:rPr>
                <w:rStyle w:val="VerbatimChar"/>
                <w:rFonts w:ascii="Times New Roman" w:hAnsi="Times New Roman"/>
                <w:sz w:val="20"/>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Return only the review text.</w:t>
            </w:r>
          </w:p>
        </w:tc>
      </w:tr>
    </w:tbl>
    <w:bookmarkEnd w:id="76"/>
    <w:bookmarkStart w:id="7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BodyText"/>
        <w:jc w:val="both"/>
        <w:keepNext w:val="0"/>
        <w:keepLines w:val="0"/>
        <w:widowControl w:val="1"/>
      </w:pPr>
      <w:r>
        <w:t xml:space="preserve">Table A4. 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Neutral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Negative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lecturer_quality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overall_experience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accessibility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w:t>
            </w:r>
          </w:p>
        </w:tc>
      </w:tr>
    </w:tbl>
    <w:bookmarkEnd w:id="77"/>
    <w:bookmarkStart w:id="8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4057"/>
            <wp:effectExtent b="0" l="0" r="0" t="0"/>
            <wp:docPr descr="Per-aspect F1 heatmap on the mapped real benchmark" title="" id="79" name="Picture"/>
            <a:graphic>
              <a:graphicData uri="http://schemas.openxmlformats.org/drawingml/2006/picture">
                <pic:pic>
                  <pic:nvPicPr>
                    <pic:cNvPr descr="outputs/figures/_docx_png/real_transfer_per_aspect_heatmap.png" id="80" name="Picture"/>
                    <pic:cNvPicPr>
                      <a:picLocks noChangeArrowheads="1" noChangeAspect="1"/>
                    </pic:cNvPicPr>
                  </pic:nvPicPr>
                  <pic:blipFill>
                    <a:blip r:embed="rId78"/>
                    <a:stretch>
                      <a:fillRect/>
                    </a:stretch>
                  </pic:blipFill>
                  <pic:spPr bwMode="auto">
                    <a:xfrm>
                      <a:off x="0" y="0"/>
                      <a:ext cx="5943600" cy="4404057"/>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A1. Per-aspect detection F1 for each synthetic-trained model on the mapped real benchmark. The heatmap shows that cross-dataset transfer is highly uneven:</w:t>
      </w:r>
      <w:r>
        <w:t xml:space="preserve"> </w:t>
      </w:r>
      <w:r>
        <w:rPr>
          <w:rStyle w:val="VerbatimChar"/>
        </w:rPr>
        <w:t xml:space="preserve">lecturer_quality</w:t>
      </w:r>
      <w:r>
        <w:t xml:space="preserve"> </w:t>
      </w:r>
      <w:r>
        <w:t xml:space="preserve">and</w:t>
      </w:r>
      <w:r>
        <w:t xml:space="preserve"> </w:t>
      </w:r>
      <w:r>
        <w:rPr>
          <w:rStyle w:val="VerbatimChar"/>
        </w:rPr>
        <w:t xml:space="preserve">exam_fairness</w:t>
      </w:r>
      <w:r>
        <w:t xml:space="preserve"> </w:t>
      </w:r>
      <w:r>
        <w:t xml:space="preserve">transfer more cleanly than sparse or weakly aligned categories such as</w:t>
      </w:r>
      <w:r>
        <w:t xml:space="preserve"> </w:t>
      </w:r>
      <w:r>
        <w:rPr>
          <w:rStyle w:val="VerbatimChar"/>
        </w:rPr>
        <w:t xml:space="preserve">accessibility</w:t>
      </w:r>
      <w:r>
        <w:t xml:space="preserve">.</w:t>
      </w:r>
    </w:p>
    <w:bookmarkEnd w:id="81"/>
    <w:bookmarkStart w:id="8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BodyText"/>
        <w:jc w:val="both"/>
        <w:keepNext w:val="0"/>
        <w:keepLines w:val="0"/>
        <w:widowControl w:val="1"/>
      </w:pPr>
      <w:r>
        <w:t xml:space="preserve">Table A5. 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Demonstration 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Context selection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 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Parse success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Intended comparison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Schema instructions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Measures the strongest constrained inference baseline without example conditioning.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Nearest-neighbor labeled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Examples retrieved from the synthetic training split per test review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Tests whether instance-level example selection improves over fixed prompting.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Three static labeled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Fixed examples drawn from the synthetic training split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few-shot condition with stable prompt context across the full test set.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few-shot-diverse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Five static demonstrations with varied tone and aspect count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Curated fixed examples from the synthetic training split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Tests whether broader example diversity changes the precision-recall trade-off.</w:t>
            </w:r>
          </w:p>
        </w:tc>
      </w:tr>
    </w:tbl>
    <w:bookmarkEnd w:id="82"/>
    <w:bookmarkStart w:id="8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BodyText"/>
        <w:jc w:val="both"/>
        <w:keepNext w:val="0"/>
        <w:keepLines w:val="0"/>
        <w:widowControl w:val="1"/>
      </w:pPr>
      <w:r>
        <w:t xml:space="preserve">Table A6. 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Criterion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Pilot subset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Small-scale generation used for end-to-end validation of the data contract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Split sizes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 / 2 /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 / validation / test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Completed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pilot responses completed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Text success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rows returned parsable review text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Duplicate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 duplicate reviews detected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Length-band match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Length control cleared the predeclared pilot threshold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Mean review length</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125.6 words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Observed average output length under the validated generation settings</w:t>
            </w:r>
          </w:p>
        </w:tc>
      </w:tr>
    </w:tbl>
    <w:p>
      <w:pPr>
        <w:pStyle w:val="BodyText"/>
        <w:jc w:val="center"/>
        <w:keepNext/>
        <w:keepLines/>
        <w:widowControl w:val="1"/>
      </w:pPr>
      <w:r>
        <w:drawing>
          <wp:inline>
            <wp:extent cx="5943600" cy="3851394"/>
            <wp:effectExtent b="0" l="0" r="0" t="0"/>
            <wp:docPr descr="Aspect count distribution in the pilot validation subset" title="" id="84" name="Picture"/>
            <a:graphic>
              <a:graphicData uri="http://schemas.openxmlformats.org/drawingml/2006/picture">
                <pic:pic>
                  <pic:nvPicPr>
                    <pic:cNvPr descr="outputs/figures/_docx_png/canary_smoke_aspect_count_distribution.png" id="85" name="Picture"/>
                    <pic:cNvPicPr>
                      <a:picLocks noChangeArrowheads="1" noChangeAspect="1"/>
                    </pic:cNvPicPr>
                  </pic:nvPicPr>
                  <pic:blipFill>
                    <a:blip r:embed="rId83"/>
                    <a:stretch>
                      <a:fillRect/>
                    </a:stretch>
                  </pic:blipFill>
                  <pic:spPr bwMode="auto">
                    <a:xfrm>
                      <a:off x="0" y="0"/>
                      <a:ext cx="5943600" cy="3851394"/>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A2. Distribution of sampled target-aspect counts in the pilot validation subset. This appendix figure is retained because it documents the pilot mixture without duplicating the acceptance criteria already summarized in Table A6.</w:t>
      </w:r>
    </w:p>
    <w:bookmarkEnd w:id="86"/>
    <w:bookmarkStart w:id="8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BodyText"/>
        <w:jc w:val="both"/>
        <w:keepNext w:val="0"/>
        <w:keepLines w:val="0"/>
        <w:widowControl w:val="1"/>
      </w:pPr>
      <w:r>
        <w:t xml:space="preserve">Table A7. 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Declared aspects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sentiment-match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sentiment-match 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10K sample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0.2120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Pilot sample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0.7727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0.2800</w:t>
            </w:r>
          </w:p>
        </w:tc>
      </w:tr>
    </w:tbl>
    <w:bookmarkEnd w:id="87"/>
    <w:bookmarkStart w:id="9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BodyText"/>
        <w:jc w:val="both"/>
        <w:keepNext w:val="0"/>
        <w:keepLines w:val="0"/>
        <w:widowControl w:val="1"/>
      </w:pPr>
      <w:r>
        <w:t xml:space="preserve">Table A8. 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Runtime (min)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Joint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0.2447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0.3208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0.5122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0.5288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11.58</w:t>
            </w:r>
          </w:p>
        </w:tc>
      </w:tr>
    </w:tbl>
    <w:p>
      <w:pPr>
        <w:pStyle w:val="BodyText"/>
        <w:jc w:val="center"/>
        <w:keepNext/>
        <w:keepLines/>
        <w:widowControl w:val="1"/>
      </w:pPr>
      <w:r>
        <w:drawing>
          <wp:inline>
            <wp:extent cx="5943600" cy="3139191"/>
            <wp:effectExtent b="0" l="0" r="0" t="0"/>
            <wp:docPr descr="Seed stability across the strongest local models" title="" id="89" name="Picture"/>
            <a:graphic>
              <a:graphicData uri="http://schemas.openxmlformats.org/drawingml/2006/picture">
                <pic:pic>
                  <pic:nvPicPr>
                    <pic:cNvPr descr="outputs/figures/_docx_png/seed_stability_micro_f1.png" id="90" name="Picture"/>
                    <pic:cNvPicPr>
                      <a:picLocks noChangeArrowheads="1" noChangeAspect="1"/>
                    </pic:cNvPicPr>
                  </pic:nvPicPr>
                  <pic:blipFill>
                    <a:blip r:embed="rId88"/>
                    <a:stretch>
                      <a:fillRect/>
                    </a:stretch>
                  </pic:blipFill>
                  <pic:spPr bwMode="auto">
                    <a:xfrm>
                      <a:off x="0" y="0"/>
                      <a:ext cx="5943600" cy="3139191"/>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A3. Micro-F1 across three random seeds for TF-IDF, DistilBERT, and BERT. The figure highlights the strong stability of DistilBERT and the larger upside variance of BERT.</w:t>
      </w:r>
    </w:p>
    <w:p>
      <w:pPr>
        <w:pStyle w:val="BodyText"/>
        <w:jc w:val="both"/>
        <w:keepNext w:val="0"/>
        <w:keepLines w:val="0"/>
        <w:widowControl w:val="1"/>
      </w:pPr>
      <w:r>
        <w:t xml:space="preserve">Table A9. 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0.0296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0.0158</w:t>
            </w:r>
          </w:p>
        </w:tc>
      </w:tr>
    </w:tbl>
    <w:p>
      <w:pPr>
        <w:pStyle w:val="BodyText"/>
        <w:jc w:val="center"/>
        <w:keepNext/>
        <w:keepLines/>
        <w:widowControl w:val="1"/>
      </w:pPr>
      <w:r>
        <w:drawing>
          <wp:inline>
            <wp:extent cx="5943600" cy="2808464"/>
            <wp:effectExtent b="0" l="0" r="0" t="0"/>
            <wp:docPr descr="Training-budget tuning comparison for BERT and DistilBERT" title="" id="92" name="Picture"/>
            <a:graphic>
              <a:graphicData uri="http://schemas.openxmlformats.org/drawingml/2006/picture">
                <pic:pic>
                  <pic:nvPicPr>
                    <pic:cNvPr descr="outputs/figures/_docx_png/encoder_tuning_comparison.png" id="93" name="Picture"/>
                    <pic:cNvPicPr>
                      <a:picLocks noChangeArrowheads="1" noChangeAspect="1"/>
                    </pic:cNvPicPr>
                  </pic:nvPicPr>
                  <pic:blipFill>
                    <a:blip r:embed="rId91"/>
                    <a:stretch>
                      <a:fillRect/>
                    </a:stretch>
                  </pic:blipFill>
                  <pic:spPr bwMode="auto">
                    <a:xfrm>
                      <a:off x="0" y="0"/>
                      <a:ext cx="5943600" cy="2808464"/>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A4. Effect of a modest training-budget change on the two strongest transformer baselines. BERT benefits noticeably from the longer lower-rate schedule, while DistilBERT remains essentially flat.</w:t>
      </w:r>
    </w:p>
    <w:p>
      <w:pPr>
        <w:pStyle w:val="BodyText"/>
        <w:jc w:val="both"/>
        <w:keepNext w:val="0"/>
        <w:keepLines w:val="0"/>
        <w:widowControl w:val="1"/>
      </w:pPr>
      <w:r>
        <w:t xml:space="preserve">Table A10. 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Baseline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Tuned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Baseline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Tuned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-0.0231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0.2683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0.5239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+0.0195</w:t>
            </w:r>
          </w:p>
        </w:tc>
      </w:tr>
    </w:tbl>
    <w:bookmarkEnd w:id="94"/>
    <w:bookmarkStart w:id="9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BodyText"/>
        <w:jc w:val="both"/>
        <w:keepNext w:val="0"/>
        <w:keepLines w:val="0"/>
        <w:widowControl w:val="1"/>
      </w:pPr>
      <w:r>
        <w:t xml:space="preserve">Table A11. 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balanced accuracy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specificity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MCC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few-shot-diverse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0.5403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0.1162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r>
    </w:tbl>
    <w:bookmarkEnd w:id="95"/>
    <w:bookmarkEnd w:id="96"/>
    <w:bookmarkStart w:id="127" w:name="bibliography"/>
    <w:p>
      <w:pPr>
        <w:pStyle w:val="Heading2"/>
        <w:keepNext/>
        <w:keepLines/>
        <w:widowControl w:val="1"/>
      </w:pPr>
      <w:r>
        <w:t xml:space="preserve">Bibliography</w:t>
      </w:r>
    </w:p>
    <w:p>
      <w:pPr>
        <w:pStyle w:val="Compact"/>
        <w:numPr>
          <w:ilvl w:val="0"/>
          <w:numId w:val="1003"/>
        </w:numPr>
        <w:jc w:val="both"/>
        <w:keepNext w:val="0"/>
        <w:keepLines w:val="0"/>
        <w:widowControl w:val="1"/>
      </w:pPr>
      <w:r>
        <w:t xml:space="preserve">J.W. Gikandi, D. Morrow, and N.E. Davis. 2011.</w:t>
      </w:r>
      <w:r>
        <w:t xml:space="preserve"> </w:t>
      </w:r>
      <w:hyperlink r:id="rId97">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jc w:val="both"/>
        <w:keepNext w:val="0"/>
        <w:keepLines w:val="0"/>
        <w:widowControl w:val="1"/>
      </w:pPr>
      <w:r>
        <w:t xml:space="preserve">Maria Pontiki, Haris Papageorgiou, Dimitrios Galanis, Ion Androutsopoulos, John Pavlopoulos, and Suresh Manandhar. 2014.</w:t>
      </w:r>
      <w:r>
        <w:t xml:space="preserve"> </w:t>
      </w:r>
      <w:hyperlink r:id="rId98">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9">
        <w:r>
          <w:rPr>
            <w:rStyle w:val="Hyperlink"/>
          </w:rPr>
          <w:t xml:space="preserve">SemEval-2016 Task 5: Aspect Based Sentiment Analysis</w:t>
        </w:r>
      </w:hyperlink>
      <w:r>
        <w:t xml:space="preserve">. Proceedings of SemEval-2016, pages 19-30.</w:t>
      </w:r>
    </w:p>
    <w:p>
      <w:pPr>
        <w:pStyle w:val="Compact"/>
        <w:numPr>
          <w:ilvl w:val="0"/>
          <w:numId w:val="1003"/>
        </w:numPr>
        <w:jc w:val="both"/>
        <w:keepNext w:val="0"/>
        <w:keepLines w:val="0"/>
        <w:widowControl w:val="1"/>
      </w:pPr>
      <w:r>
        <w:t xml:space="preserve">Jacob Devlin, Ming-Wei Chang, Kenton Lee, and Kristina Toutanova. 2019.</w:t>
      </w:r>
      <w:r>
        <w:t xml:space="preserve"> </w:t>
      </w:r>
      <w:hyperlink r:id="rId100">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jc w:val="both"/>
        <w:keepNext w:val="0"/>
        <w:keepLines w:val="0"/>
        <w:widowControl w:val="1"/>
      </w:pPr>
      <w:r>
        <w:t xml:space="preserve">Yice Zhang, Yifan Yang, Bin Liang, Shiwei Chen, Bing Qin, and Ruifeng Xu. 2023.</w:t>
      </w:r>
      <w:r>
        <w:t xml:space="preserve"> </w:t>
      </w:r>
      <w:hyperlink r:id="rId101">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jc w:val="both"/>
        <w:keepNext w:val="0"/>
        <w:keepLines w:val="0"/>
        <w:widowControl w:val="1"/>
      </w:pPr>
      <w:r>
        <w:t xml:space="preserve">Zhuoyan Li, Hangxiao Zhu, Zhuoran Lu, and Ming Yin. 2023.</w:t>
      </w:r>
      <w:r>
        <w:t xml:space="preserve"> </w:t>
      </w:r>
      <w:hyperlink r:id="rId102">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jc w:val="both"/>
        <w:keepNext w:val="0"/>
        <w:keepLines w:val="0"/>
        <w:widowControl w:val="1"/>
      </w:pPr>
      <w:r>
        <w:t xml:space="preserve">Charles Welch and Rada Mihalcea. 2016.</w:t>
      </w:r>
      <w:r>
        <w:t xml:space="preserve"> </w:t>
      </w:r>
      <w:hyperlink r:id="rId103">
        <w:r>
          <w:rPr>
            <w:rStyle w:val="Hyperlink"/>
          </w:rPr>
          <w:t xml:space="preserve">Targeted Sentiment to Understand Student Comments</w:t>
        </w:r>
      </w:hyperlink>
      <w:r>
        <w:t xml:space="preserve">. COLING 2016, pages 2471-2481.</w:t>
      </w:r>
    </w:p>
    <w:p>
      <w:pPr>
        <w:pStyle w:val="Compact"/>
        <w:numPr>
          <w:ilvl w:val="0"/>
          <w:numId w:val="1003"/>
        </w:numPr>
        <w:jc w:val="both"/>
        <w:keepNext w:val="0"/>
        <w:keepLines w:val="0"/>
        <w:widowControl w:val="1"/>
      </w:pPr>
      <w:r>
        <w:t xml:space="preserve">Janaka Chathuranga, Shanika Ediriweera, Ravindu Hasantha, Pranidhith Munasinghe, and Surangika Ranathunga. 2018.</w:t>
      </w:r>
      <w:r>
        <w:t xml:space="preserve"> </w:t>
      </w:r>
      <w:hyperlink r:id="rId104">
        <w:r>
          <w:rPr>
            <w:rStyle w:val="Hyperlink"/>
          </w:rPr>
          <w:t xml:space="preserve">Annotating Opinions and Opinion Targets in Student Course Feedback</w:t>
        </w:r>
      </w:hyperlink>
      <w:r>
        <w:t xml:space="preserve">. LREC 2018 Workshop paper.</w:t>
      </w:r>
    </w:p>
    <w:p>
      <w:pPr>
        <w:pStyle w:val="Compact"/>
        <w:numPr>
          <w:ilvl w:val="0"/>
          <w:numId w:val="1003"/>
        </w:numPr>
        <w:jc w:val="both"/>
        <w:keepNext w:val="0"/>
        <w:keepLines w:val="0"/>
        <w:widowControl w:val="1"/>
      </w:pPr>
      <w:r>
        <w:t xml:space="preserve">Nikola Nikolić, Olivera Grljević, and Aleksandar Kovačević. 2020.</w:t>
      </w:r>
      <w:r>
        <w:t xml:space="preserve"> </w:t>
      </w:r>
      <w:hyperlink r:id="rId105">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jc w:val="both"/>
        <w:keepNext w:val="0"/>
        <w:keepLines w:val="0"/>
        <w:widowControl w:val="1"/>
      </w:pPr>
      <w:r>
        <w:t xml:space="preserve">Thanveer Shaik, Xiaohui Tao, Yan Li, Christopher Dann, Jacquie McDonald, Petrea Redmond, and Linda Galligan. 2022.</w:t>
      </w:r>
      <w:r>
        <w:t xml:space="preserve"> </w:t>
      </w:r>
      <w:hyperlink r:id="rId106">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jc w:val="both"/>
        <w:keepNext w:val="0"/>
        <w:keepLines w:val="0"/>
        <w:widowControl w:val="1"/>
      </w:pPr>
      <w:r>
        <w:t xml:space="preserve">Missaka Herath, Kushan Chamindu, Hashan Maduwantha, and Surangika Ranathunga. 2022.</w:t>
      </w:r>
      <w:r>
        <w:t xml:space="preserve"> </w:t>
      </w:r>
      <w:hyperlink r:id="rId107">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jc w:val="both"/>
        <w:keepNext w:val="0"/>
        <w:keepLines w:val="0"/>
        <w:widowControl w:val="1"/>
      </w:pPr>
      <w:r>
        <w:t xml:space="preserve">Ting-Wei Hsu, Chung-Chi Chen, Hen-Hsen Huang, and Hsin-Hsi Chen. 2021.</w:t>
      </w:r>
      <w:r>
        <w:t xml:space="preserve"> </w:t>
      </w:r>
      <w:hyperlink r:id="rId108">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jc w:val="both"/>
        <w:keepNext w:val="0"/>
        <w:keepLines w:val="0"/>
        <w:widowControl w:val="1"/>
      </w:pPr>
      <w:r>
        <w:t xml:space="preserve">Timo Schick and Hinrich Schütze. 2021.</w:t>
      </w:r>
      <w:r>
        <w:t xml:space="preserve"> </w:t>
      </w:r>
      <w:hyperlink r:id="rId109">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jc w:val="both"/>
        <w:keepNext w:val="0"/>
        <w:keepLines w:val="0"/>
        <w:widowControl w:val="1"/>
      </w:pPr>
      <w:r>
        <w:t xml:space="preserve">Hang Yan, Junqi Dai, Tuo Ji, Xipeng Qiu, and Zheng Zhang. 2021.</w:t>
      </w:r>
      <w:r>
        <w:t xml:space="preserve"> </w:t>
      </w:r>
      <w:hyperlink r:id="rId110">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jc w:val="both"/>
        <w:keepNext w:val="0"/>
        <w:keepLines w:val="0"/>
        <w:widowControl w:val="1"/>
      </w:pPr>
      <w:r>
        <w:t xml:space="preserve">Jian Liu, Zhiyang Teng, Leyang Cui, Hanmeng Liu, and Yue Zhang. 2021.</w:t>
      </w:r>
      <w:r>
        <w:t xml:space="preserve"> </w:t>
      </w:r>
      <w:hyperlink r:id="rId111">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jc w:val="both"/>
        <w:keepNext w:val="0"/>
        <w:keepLines w:val="0"/>
        <w:widowControl w:val="1"/>
      </w:pPr>
      <w:r>
        <w:t xml:space="preserve">Michelangelo Misuraca, Germana Scepi, and Maria Spano. 2021.</w:t>
      </w:r>
      <w:r>
        <w:t xml:space="preserve"> </w:t>
      </w:r>
      <w:hyperlink r:id="rId112">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jc w:val="both"/>
        <w:keepNext w:val="0"/>
        <w:keepLines w:val="0"/>
        <w:widowControl w:val="1"/>
      </w:pPr>
      <w:r>
        <w:t xml:space="preserve">Thanveer Shaik, Xiaohui Tao, Christopher Dann, Haoran Xie, Yan Li, and Linda Galligan. 2023.</w:t>
      </w:r>
      <w:r>
        <w:t xml:space="preserve"> </w:t>
      </w:r>
      <w:hyperlink r:id="rId113">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jc w:val="both"/>
        <w:keepNext w:val="0"/>
        <w:keepLines w:val="0"/>
        <w:widowControl w:val="1"/>
      </w:pPr>
      <w:r>
        <w:t xml:space="preserve">Charalampos Dervenis, Giannis Kanakis, and Panos Fitsilis. 2024.</w:t>
      </w:r>
      <w:r>
        <w:t xml:space="preserve"> </w:t>
      </w:r>
      <w:hyperlink r:id="rId114">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jc w:val="both"/>
        <w:keepNext w:val="0"/>
        <w:keepLines w:val="0"/>
        <w:widowControl w:val="1"/>
      </w:pPr>
      <w:r>
        <w:t xml:space="preserve">Aleksandra Edwards and Jose Camacho-Collados. 2024.</w:t>
      </w:r>
      <w:r>
        <w:t xml:space="preserve"> </w:t>
      </w:r>
      <w:hyperlink r:id="rId115">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jc w:val="both"/>
        <w:keepNext w:val="0"/>
        <w:keepLines w:val="0"/>
        <w:widowControl w:val="1"/>
      </w:pPr>
      <w:r>
        <w:t xml:space="preserve">John Hattie and Helen Timperley. 2007.</w:t>
      </w:r>
      <w:r>
        <w:t xml:space="preserve"> </w:t>
      </w:r>
      <w:hyperlink r:id="rId116">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jc w:val="both"/>
        <w:keepNext w:val="0"/>
        <w:keepLines w:val="0"/>
        <w:widowControl w:val="1"/>
      </w:pPr>
      <w:r>
        <w:t xml:space="preserve">David Carless and David Boud. 2018.</w:t>
      </w:r>
      <w:r>
        <w:t xml:space="preserve"> </w:t>
      </w:r>
      <w:hyperlink r:id="rId117">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jc w:val="both"/>
        <w:keepNext w:val="0"/>
        <w:keepLines w:val="0"/>
        <w:widowControl w:val="1"/>
      </w:pPr>
      <w:r>
        <w:t xml:space="preserve">Michael Henderson, Michael Phillips, Tracii Ryan, David Boud, Phillip Dawson, Elizabeth Molloy, and Paige Mahoney. 2019.</w:t>
      </w:r>
      <w:r>
        <w:t xml:space="preserve"> </w:t>
      </w:r>
      <w:hyperlink r:id="rId118">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jc w:val="both"/>
        <w:keepNext w:val="0"/>
        <w:keepLines w:val="0"/>
        <w:widowControl w:val="1"/>
      </w:pPr>
      <w:r>
        <w:t xml:space="preserve">Swapna Gottipati, Venky Shankararaman, and Jeff Rongsheng Lin. 2018.</w:t>
      </w:r>
      <w:r>
        <w:t xml:space="preserve"> </w:t>
      </w:r>
      <w:hyperlink r:id="rId119">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jc w:val="both"/>
        <w:keepNext w:val="0"/>
        <w:keepLines w:val="0"/>
        <w:widowControl w:val="1"/>
      </w:pPr>
      <w:r>
        <w:t xml:space="preserve">Maija Hujala, Antti Knutas, Timo Hynninen, and Heli Arminen. 2020.</w:t>
      </w:r>
      <w:r>
        <w:t xml:space="preserve"> </w:t>
      </w:r>
      <w:hyperlink r:id="rId120">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jc w:val="both"/>
        <w:keepNext w:val="0"/>
        <w:keepLines w:val="0"/>
        <w:widowControl w:val="1"/>
      </w:pPr>
      <w:r>
        <w:t xml:space="preserve">Steven Y. Feng, Varun Gangal, Jason Wei, Sarath Chandar, Soroush Vosoughi, Teruko Mitamura, and Eduard Hovy. 2021.</w:t>
      </w:r>
      <w:r>
        <w:t xml:space="preserve"> </w:t>
      </w:r>
      <w:hyperlink r:id="rId121">
        <w:r>
          <w:rPr>
            <w:rStyle w:val="Hyperlink"/>
          </w:rPr>
          <w:t xml:space="preserve">A Survey of Data Augmentation Approaches for NLP</w:t>
        </w:r>
      </w:hyperlink>
      <w:r>
        <w:t xml:space="preserve">. Findings of ACL 2021, pages 968-988.</w:t>
      </w:r>
    </w:p>
    <w:p>
      <w:pPr>
        <w:pStyle w:val="Compact"/>
        <w:numPr>
          <w:ilvl w:val="0"/>
          <w:numId w:val="1003"/>
        </w:numPr>
        <w:jc w:val="both"/>
        <w:keepNext w:val="0"/>
        <w:keepLines w:val="0"/>
        <w:widowControl w:val="1"/>
      </w:pPr>
      <w:r>
        <w:t xml:space="preserve">Yu Meng, Jiaxin Huang, Yu Zhang, and Jiawei Han. 2022.</w:t>
      </w:r>
      <w:r>
        <w:t xml:space="preserve"> </w:t>
      </w:r>
      <w:hyperlink r:id="rId122">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jc w:val="both"/>
        <w:keepNext w:val="0"/>
        <w:keepLines w:val="0"/>
        <w:widowControl w:val="1"/>
      </w:pPr>
      <w:r>
        <w:t xml:space="preserve">Yizhong Wang, Yeganeh Kordi, Swaroop Mishra, Alisa Liu, Noah A. Smith, Daniel Khashabi, and Hannaneh Hajishirzi. 2023.</w:t>
      </w:r>
      <w:r>
        <w:t xml:space="preserve"> </w:t>
      </w:r>
      <w:hyperlink r:id="rId123">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4">
        <w:r>
          <w:rPr>
            <w:rStyle w:val="Hyperlink"/>
          </w:rPr>
          <w:t xml:space="preserve">Instruction Tuning for Few-Shot Aspect-Based Sentiment Analysis</w:t>
        </w:r>
      </w:hyperlink>
      <w:r>
        <w:t xml:space="preserve">. Proceedings of WASSA 2023, pages 28-37.</w:t>
      </w:r>
    </w:p>
    <w:p>
      <w:pPr>
        <w:pStyle w:val="Compact"/>
        <w:numPr>
          <w:ilvl w:val="0"/>
          <w:numId w:val="1003"/>
        </w:numPr>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5">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jc w:val="both"/>
        <w:keepNext w:val="0"/>
        <w:keepLines w:val="0"/>
        <w:widowControl w:val="1"/>
      </w:pPr>
      <w:r>
        <w:t xml:space="preserve">Wenxuan Zhang, Yue Deng, Bing Liu, Sinno Jialin Pan, and Lidong Bing. 2024.</w:t>
      </w:r>
      <w:r>
        <w:t xml:space="preserve"> </w:t>
      </w:r>
      <w:hyperlink r:id="rId126">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83" Type="http://schemas.openxmlformats.org/officeDocument/2006/relationships/image" Target="media/rId83.png"/><Relationship Id="rId91" Type="http://schemas.openxmlformats.org/officeDocument/2006/relationships/image" Target="media/rId91.png"/><Relationship Id="rId56" Type="http://schemas.openxmlformats.org/officeDocument/2006/relationships/image" Target="media/rId56.png"/><Relationship Id="rId36" Type="http://schemas.openxmlformats.org/officeDocument/2006/relationships/image" Target="media/rId36.png"/><Relationship Id="rId49" Type="http://schemas.openxmlformats.org/officeDocument/2006/relationships/image" Target="media/rId49.png"/><Relationship Id="rId39" Type="http://schemas.openxmlformats.org/officeDocument/2006/relationships/image" Target="media/rId39.png"/><Relationship Id="rId44" Type="http://schemas.openxmlformats.org/officeDocument/2006/relationships/image" Target="media/rId44.png"/><Relationship Id="rId53" Type="http://schemas.openxmlformats.org/officeDocument/2006/relationships/image" Target="media/rId53.png"/><Relationship Id="rId78" Type="http://schemas.openxmlformats.org/officeDocument/2006/relationships/image" Target="media/rId78.png"/><Relationship Id="rId30" Type="http://schemas.openxmlformats.org/officeDocument/2006/relationships/image" Target="media/rId30.png"/><Relationship Id="rId63" Type="http://schemas.openxmlformats.org/officeDocument/2006/relationships/image" Target="media/rId63.png"/><Relationship Id="rId88" Type="http://schemas.openxmlformats.org/officeDocument/2006/relationships/image" Target="media/rId88.png"/><Relationship Id="rId14" Type="http://schemas.openxmlformats.org/officeDocument/2006/relationships/image" Target="media/rId14.png"/><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879/"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879/"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2026-05-25T05:12:11Z</dcterms:created>
  <dcterms:modified xsi:type="dcterms:W3CDTF">2026-05-25T05:12:11Z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