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 A recent systematic review of educational ABSA finds that only two of fifteen studies released any annotated data [12], and the public corpora that do exist are predominantly sentence-level; review-level aspect labels are available mainly for MOOC platform reviews (for example OATS-ABSA on Coursera [41]) rather than for the institutional course and teacher feedback our schema targets. This data scarcity, not model capacity, is what a controlled synthetic corpus is meant to address.</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B6SfCS/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B6SfCS/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B6SfCS/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B6SfCS/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B6SfCS/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 Appendix A.22 decomposes this reliability further: recall on genuine aspects rises with review length, while specificity against fabricated aspects falls as a review packs more aspects, so agreement peaks at moderate length and aspect count.</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This granularity mismatch is not, however, the limiting factor: a review-level real target (OATS, median 70 words) transfers no better than the sentence-level targets, so transfer difficulty is governed by how closely a target's aspect vocabulary and register align with the synthetic supervision rather than by review length (Appendix A.24). A full-review real benchmark matched to institutional course feedback is the natural next target; the one public review-level educational corpus is MOOC-focused (OATS-ABSA, Coursera reviews [41]), while course-evaluation feedback of the kind our schema targets remains annotated only at the sentence level [12]. Aspect-annotating a set of full-length institutional reviews (for example public OMSCS reviews) is therefore the concrete path to fully closing this granularity gap.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A sentence-level distributional check places the synthetic corpus at MAUVE 0.23 from the real OMSCS reviews, below both the 0.98 real-to-real ceiling and the 0.63 between two independent real corpora (OMSCS and Herath), so at the pool level the synthetic sentence distribution is still separable from real. This gap reflects writing style rather than course or platform identity: scrubbing course codes, instructor names, and platform terms from both sides leaves it essentially unchanged. Most tellingly, the separability is a document-structure effect rather than a sentence-realism one: judged sentence by sentence, individual synthetic sentences are near-indistinguishable from real ones, with the same judge only 60% accurate (close to the 50% chance floor, versus 93% on whole reviews) and calling 63% of synthetic sentences real. The detectability is a cumulative property of extended synthetic text: a weak per-sentence signal accumulates across a full review, and a control that assembles real sentences into equally multi-aspect documents is still judged real, so it is not multi-aspect coverage or incoherence. The signal is thus orthogonal to the individual sentences that carry the aspect-sentiment supervision (Appendix A.23).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 Practitioners applying the faithfulness audit itself should note that its reliability is review-shape dependent: it is most trustworthy on moderate-length reviews with a handful of aspects, under-confirming genuine aspects on very short comments and under-rejecting spurious ones on aspect-dense reviews (Appendix A.22).</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B6SfCS/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4"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B6SfCS/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B6SfCS/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B6SfCS/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B6SfCS/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B6SfCS/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B6SfCS/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B6SfCS/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B6SfCS/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Start w:id="101" w:name="Xd70789edcfe28c729fd7e320d22fd8a4cf9dbc1"/>
    <w:p>
      <w:pPr>
        <w:pStyle w:val="Heading3"/>
        <w:keepNext/>
        <w:keepLines/>
        <w:widowControl w:val="1"/>
      </w:pPr>
      <w:r>
        <w:t xml:space="preserve">A.22 Audit Reliability by Review Length and Aspect Count</w:t>
      </w:r>
    </w:p>
    <w:p>
      <w:pPr>
        <w:pStyle w:val="FirstParagraph"/>
        <w:jc w:val="both"/>
        <w:keepNext w:val="0"/>
        <w:keepLines w:val="0"/>
        <w:widowControl w:val="1"/>
      </w:pPr>
      <w:r>
        <w:t xml:space="preserve">The audit-versus-human agreement of Table A19 varies systematically with two correlated review properties (Pearson 0.48): review length and the number of declared aspects. Decomposing the 2,482 decisions isolates two opposing forces (Table A20). Recall, the rate at which the audit confirms a genuinely faithful aspect, rises with content: from 0.61 on one-aspect reviews to 0.74 on reviews with four or more aspects, and, holding the aspect count fixed at one, from 0.50 on reviews of at most 20 words to 0.56 on reviews over 40 words. More text lets the audit verify that a real aspect is present. Specificity, the rate at which it rejects an injected absent aspect, instead falls with aspect density: from 0.90 on one-aspect reviews to about 0.74 on reviews with three or more aspects, because a fabricated aspect blends in when a review already discusses many aspects. Agreement is therefore highest for moderate-length, moderate-aspect reviews: the shortest reviews are hard because the audit cannot confirm real aspects, and the most aspect-dense reviews are hard because it cannot reject fabricated ones. This also explains the per-corpus ordering in Table A19, where the shorter Herath sentences sit below the longer EduRABSA passages. Scripts:</w:t>
      </w:r>
      <w:r>
        <w:t xml:space="preserve"> </w:t>
      </w:r>
      <w:r>
        <w:rPr>
          <w:rStyle w:val="VerbatimChar"/>
        </w:rPr>
        <w:t xml:space="preserve">paper/v7_kappa_by_length.py</w:t>
      </w:r>
      <w:r>
        <w:t xml:space="preserve">,</w:t>
      </w:r>
      <w:r>
        <w:t xml:space="preserve"> </w:t>
      </w:r>
      <w:r>
        <w:rPr>
          <w:rStyle w:val="VerbatimChar"/>
        </w:rPr>
        <w:t xml:space="preserve">paper/v7_by_len_and_aspects.py</w:t>
      </w:r>
      <w:r>
        <w:t xml:space="preserve">.</w:t>
      </w:r>
    </w:p>
    <w:p>
      <w:pPr>
        <w:pStyle w:val="TableCaption"/>
        <w:spacing w:before="280" w:after="60" w:line="240" w:lineRule="auto"/>
        <w:jc w:val="center"/>
        <w:keepNext/>
        <w:keepLines/>
        <w:widowControl w:val="1"/>
      </w:pPr>
      <w:r>
        <w:rPr>
          <w:b/>
          <w:i/>
        </w:rPr>
        <w:t>Table A20.</w:t>
      </w:r>
      <w:r>
        <w:rPr>
          <w:b w:val="0"/>
          <w:i/>
        </w:rPr>
        <w:t xml:space="preserve"> </w:t>
      </w:r>
      <w:r>
        <w:rPr>
          <w:b w:val="0"/>
          <w:i/>
        </w:rPr>
        <w:t>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w:t>
      </w:r>
    </w:p>
    <w:tbl>
      <w:tblPr>
        <w:tblStyle w:val="Table"/>
        <w:tblW w:type="pct" w:w="5000"/>
        <w:jc w:val="center"/>
        <w:tblLook w:firstRow="1" w:lastRow="0" w:firstColumn="0" w:lastColumn="0" w:noHBand="0" w:noVBand="0" w:val="0020"/>
        <w:tblCaption w:val="Table A20. 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Aspects per review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Recall (confirm faithful)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Specificity (reject injected)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bl>
    <w:bookmarkEnd w:id="101"/>
    <w:bookmarkStart w:id="102" w:name="a.23-sentence-versus-review-realism"/>
    <w:p>
      <w:pPr>
        <w:pStyle w:val="Heading3"/>
        <w:keepNext/>
        <w:keepLines/>
        <w:widowControl w:val="1"/>
      </w:pPr>
      <w:r>
        <w:t xml:space="preserve">A.23 Sentence-Versus-Review Realism</w:t>
      </w:r>
    </w:p>
    <w:p>
      <w:pPr>
        <w:pStyle w:val="FirstParagraph"/>
        <w:jc w:val="both"/>
        <w:keepNext w:val="0"/>
        <w:keepLines w:val="0"/>
        <w:widowControl w:val="1"/>
      </w:pPr>
      <w:r>
        <w:t xml:space="preserve">The realism-validation judge separates whole synthetic reviews from real ones easily, but this reflects document structure rather than the realism of the text itself. We re-ran the identical real-versus-synthetic judgment at sentence granularity, giving the judge one sentence at a time (150 synthetic and 150 real OMSCS sentences of 5 to 40 words), and compared it to the review-level decision (Table A21). Accuracy falls from 93% to 60%, close to the 50% chance floor: the judge flags only 37% of synthetic sentences as synthetic (versus 97% of whole reviews) and calls 63% of them real, while its false-synthetic rate on real sentences is unchanged at 16%. Individual synthetic sentences are therefore near-indistinguishable from real ones to the same detector. The detectability is instead a cumulative property of extended synthetic text: each synthetic sentence carries only a weak signal (flagged synthetic 37% of the time, against a 15% floor on real sentences), and that signal accumulates across a full generated review to near-certain detection (97%). To confirm this is not merely an effect of covering several aspects in one document, we ran a control that assembles real OMSCS sentences from the same course into equally multi-aspect documents (mean 63 words); these all-real-sentence documents are judged synthetic only 19% of the time, essentially the real-review rate, so neither multi-aspect coverage nor mild incoherence triggers the tell (Table A21). The signal is the accumulated style of genuinely synthetic text, which is orthogonal to the sentence-level aspect-sentiment labels the corpus supplies for training; a MAUVE gap of 0.23 between the sentence pools reflects an aggregate distributional shift consistent with this weak per-sentence signal. Scripts:</w:t>
      </w:r>
      <w:r>
        <w:t xml:space="preserve"> </w:t>
      </w:r>
      <w:r>
        <w:rPr>
          <w:rStyle w:val="VerbatimChar"/>
        </w:rPr>
        <w:t xml:space="preserve">paper/n2_sentence_judge.py</w:t>
      </w:r>
      <w:r>
        <w:t xml:space="preserve">,</w:t>
      </w:r>
      <w:r>
        <w:t xml:space="preserve"> </w:t>
      </w:r>
      <w:r>
        <w:rPr>
          <w:rStyle w:val="VerbatimChar"/>
        </w:rPr>
        <w:t xml:space="preserve">paper/n2_assembled_real.py</w:t>
      </w:r>
      <w:r>
        <w:t xml:space="preserve">.</w:t>
      </w:r>
    </w:p>
    <w:p>
      <w:pPr>
        <w:pStyle w:val="TableCaption"/>
        <w:spacing w:before="280" w:after="60" w:line="240" w:lineRule="auto"/>
        <w:jc w:val="center"/>
        <w:keepNext/>
        <w:keepLines/>
        <w:widowControl w:val="1"/>
      </w:pPr>
      <w:r>
        <w:rPr>
          <w:b/>
          <w:i/>
        </w:rPr>
        <w:t>Table A21.</w:t>
      </w:r>
      <w:r>
        <w:rPr>
          <w:b w:val="0"/>
          <w:i/>
        </w:rPr>
        <w:t xml:space="preserve"> </w:t>
      </w:r>
      <w:r>
        <w:rPr>
          <w:b w:val="0"/>
          <w:i/>
        </w:rPr>
        <w:t>Rate at which the real-versus-synthetic judge (gpt-5.4) flags text as synthetic, across four conditions. A weak per-sentence signal accumulates over a full synthetic review; assembling real sentences into equally multi-aspect documents does not reproduce it, so the tell is the accumulated style of synthetic text rather than multi-aspect coverage or incoherence.</w:t>
      </w:r>
    </w:p>
    <w:tbl>
      <w:tblPr>
        <w:tblStyle w:val="Table"/>
        <w:tblW w:type="pct" w:w="5000"/>
        <w:jc w:val="center"/>
        <w:tblLook w:firstRow="1" w:lastRow="0" w:firstColumn="0" w:lastColumn="0" w:noHBand="0" w:noVBand="0" w:val="0020"/>
        <w:tblCaption w:val="Table A21. Rate at which the real-versus-synthetic judge (gpt-5.4) flags text as synthetic, across four conditions. A weak per-sentence signal accumulates over a full synthetic review; assembling real sentences into equally multi-aspect documents does not reproduce it, so the tell is the accumulated style of synthetic text rather than multi-aspect coverage or incohere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Median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Flagged synthetic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full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Assembled real (multi-aspect documents)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Individual synthetic sentences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Whole synthetic reviews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0.975</w:t>
            </w:r>
          </w:p>
        </w:tc>
      </w:tr>
    </w:tbl>
    <w:bookmarkEnd w:id="102"/>
    <w:bookmarkStart w:id="103" w:name="X50e9c8125cee1eb99a99c9d7946a4b63be6ad24"/>
    <w:p>
      <w:pPr>
        <w:pStyle w:val="Heading3"/>
        <w:keepNext/>
        <w:keepLines/>
        <w:widowControl w:val="1"/>
      </w:pPr>
      <w:r>
        <w:t xml:space="preserve">A.24 Review Granularity Does Not Predict Transfer</w:t>
      </w:r>
    </w:p>
    <w:p>
      <w:pPr>
        <w:pStyle w:val="FirstParagraph"/>
        <w:jc w:val="both"/>
        <w:keepNext w:val="0"/>
        <w:keepLines w:val="0"/>
        <w:widowControl w:val="1"/>
      </w:pPr>
      <w:r>
        <w:t xml:space="preserve">A natural concern is that the synthetic corpus is full-review while the two primary transfer targets are sentence-level, so transfer might be limited by this granularity mismatch. It is not. We evaluated the same synthetic-trained</w:t>
      </w:r>
      <w:r>
        <w:t xml:space="preserve"> </w:t>
      </w:r>
      <w:r>
        <w:rPr>
          <w:rStyle w:val="VerbatimChar"/>
        </w:rPr>
        <w:t xml:space="preserve">bert-base-uncased</w:t>
      </w:r>
      <w:r>
        <w:t xml:space="preserve"> </w:t>
      </w:r>
      <w:r>
        <w:t xml:space="preserve">detector on four real targets that vary in granularity, over each target's conservative aspect overlap (Table A22). A review-level target (OATS, median 70 words) transfers no better (micro-F1 0.275) than sentence-level targets (M-ABSA 0.263, EduRABSA 0.275), and all three sit well below the best-aligned Herath overlap (0.481). Transfer difficulty is therefore governed by how closely a target's aspect vocabulary and register align with the synthetic supervision, not by review length; the cross-granularity mismatch is not the operative limitation. The two Coursera-derived MOOC targets (M-ABSA, OATS) are additionally short and positive-skewed, which further depresses their transferred scores.</w:t>
      </w:r>
    </w:p>
    <w:p>
      <w:pPr>
        <w:pStyle w:val="TableCaption"/>
        <w:spacing w:before="280" w:after="60" w:line="240" w:lineRule="auto"/>
        <w:jc w:val="center"/>
        <w:keepNext/>
        <w:keepLines/>
        <w:widowControl w:val="1"/>
      </w:pPr>
      <w:r>
        <w:rPr>
          <w:b/>
          <w:i/>
        </w:rPr>
        <w:t>Table A22.</w:t>
      </w:r>
      <w:r>
        <w:rPr>
          <w:b w:val="0"/>
          <w:i/>
        </w:rPr>
        <w:t xml:space="preserve"> </w:t>
      </w:r>
      <w:r>
        <w:rPr>
          <w:b w:val="0"/>
          <w:i/>
        </w:rPr>
        <w:t>Synthetic-to-real detection transfer (micro-F1, bert-base-uncased, seed 42) across four real targets spanning sentence- and review-level granularity. Review-level OATS transfers no better than sentence-level targets, so granularity is not the transfer bottleneck.</w:t>
      </w:r>
    </w:p>
    <w:tbl>
      <w:tblPr>
        <w:tblStyle w:val="Table"/>
        <w:tblW w:type="pct" w:w="5000"/>
        <w:jc w:val="center"/>
        <w:tblLook w:firstRow="1" w:lastRow="0" w:firstColumn="0" w:lastColumn="0" w:noHBand="0" w:noVBand="0" w:val="0020"/>
        <w:tblCaption w:val="Table A22. Synthetic-to-real detection transfer (micro-F1, bert-base-uncased, seed 42) across four real targets spanning sentence- and review-level granularity. Review-level OATS transfers no better than sentence-level targets, so granularity is not the transfer bottlenec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Granularity (median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micro-F1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Waterloo course / teacher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Coursera MOOC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OATS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review (70)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Coursera MOOC</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0.275</w:t>
            </w:r>
          </w:p>
        </w:tc>
      </w:tr>
    </w:tbl>
    <w:bookmarkEnd w:id="103"/>
    <w:bookmarkEnd w:id="104"/>
    <w:bookmarkStart w:id="146"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5">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6">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7">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8">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9">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10">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11">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12">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3">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4">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5">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6">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7">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8">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9">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20">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21">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22">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3">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4">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5">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6">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7">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8">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9">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30">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31">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32">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3">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4">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5">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6">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7">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8">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9">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40">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41">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42">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3">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4">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p>
      <w:pPr>
        <w:pStyle w:val="Compact"/>
        <w:numPr>
          <w:ilvl w:val="0"/>
          <w:numId w:val="1003"/>
        </w:numPr>
        <w:ind w:left="360" w:hanging="259"/>
        <w:jc w:val="both"/>
        <w:keepNext w:val="0"/>
        <w:keepLines w:val="0"/>
        <w:widowControl w:val="1"/>
      </w:pPr>
      <w:r>
        <w:t xml:space="preserve">Siva Uday Sampreeth Chebolu, Franck Dernoncourt, Nedim Lipka, and Thamar Solorio. 2024.</w:t>
      </w:r>
      <w:r>
        <w:t xml:space="preserve"> </w:t>
      </w:r>
      <w:hyperlink r:id="rId145">
        <w:r>
          <w:rPr>
            <w:rStyle w:val="Hyperlink"/>
          </w:rPr>
          <w:t xml:space="preserve">OATS: A Challenge Dataset for Opinion Aspect Target Sentiment Joint Detection for Aspect-Based Sentiment Analysis</w:t>
        </w:r>
      </w:hyperlink>
      <w:r>
        <w:t xml:space="preserve">. Proceedings of LREC-COLING 2024, pages 12336-12347.</w:t>
      </w:r>
    </w:p>
    <w:bookmarkEnd w:id="14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8" Type="http://schemas.openxmlformats.org/officeDocument/2006/relationships/hyperlink" Target="https://aclanthology.org/2021.eacl-main.20/" TargetMode="External"/><Relationship Id="rId115" Type="http://schemas.openxmlformats.org/officeDocument/2006/relationships/hyperlink" Target="https://aclanthology.org/2022.lrec-1.219/" TargetMode="External"/><Relationship Id="rId145" Type="http://schemas.openxmlformats.org/officeDocument/2006/relationships/hyperlink" Target="https://aclanthology.org/2024.lrec-main.1080/" TargetMode="External"/><Relationship Id="rId124" Type="http://schemas.openxmlformats.org/officeDocument/2006/relationships/hyperlink" Target="https://aclanthology.org/2024.lrec-main.879/" TargetMode="External"/><Relationship Id="rId111" Type="http://schemas.openxmlformats.org/officeDocument/2006/relationships/hyperlink" Target="https://aclanthology.org/C16-1233/" TargetMode="External"/><Relationship Id="rId112" Type="http://schemas.openxmlformats.org/officeDocument/2006/relationships/hyperlink" Target="https://aclanthology.org/L18-1425/" TargetMode="External"/><Relationship Id="rId131" Type="http://schemas.openxmlformats.org/officeDocument/2006/relationships/hyperlink" Target="https://arxiv.org/abs/2202.04538" TargetMode="External"/><Relationship Id="rId140" Type="http://schemas.openxmlformats.org/officeDocument/2006/relationships/hyperlink" Target="https://arxiv.org/abs/2411.15594" TargetMode="External"/><Relationship Id="rId141" Type="http://schemas.openxmlformats.org/officeDocument/2006/relationships/hyperlink" Target="https://arxiv.org/abs/2505.19675" TargetMode="External"/><Relationship Id="rId116" Type="http://schemas.openxmlformats.org/officeDocument/2006/relationships/hyperlink" Target="https://arxiv.org/abs/2508.17008" TargetMode="External"/><Relationship Id="rId142" Type="http://schemas.openxmlformats.org/officeDocument/2006/relationships/hyperlink" Target="https://doi.org/10.1007/s44443-025-00018-1" TargetMode="External"/><Relationship Id="rId129" Type="http://schemas.openxmlformats.org/officeDocument/2006/relationships/hyperlink" Target="https://doi.org/10.1016/j.compedu.2020.103965" TargetMode="External"/><Relationship Id="rId137" Type="http://schemas.openxmlformats.org/officeDocument/2006/relationships/hyperlink" Target="https://doi.org/10.1016/j.eswa.2024.125514" TargetMode="External"/><Relationship Id="rId122" Type="http://schemas.openxmlformats.org/officeDocument/2006/relationships/hyperlink" Target="https://doi.org/10.1016/j.nlp.2022.100003" TargetMode="External"/><Relationship Id="rId121" Type="http://schemas.openxmlformats.org/officeDocument/2006/relationships/hyperlink" Target="https://doi.org/10.1016/j.stueduc.2021.100979" TargetMode="External"/><Relationship Id="rId123" Type="http://schemas.openxmlformats.org/officeDocument/2006/relationships/hyperlink" Target="https://doi.org/10.1016/j.stueduc.2024.101406" TargetMode="External"/><Relationship Id="rId139" Type="http://schemas.openxmlformats.org/officeDocument/2006/relationships/hyperlink" Target="https://doi.org/10.1073/pnas.2305016120" TargetMode="External"/><Relationship Id="rId126" Type="http://schemas.openxmlformats.org/officeDocument/2006/relationships/hyperlink" Target="https://doi.org/10.1080/02602938.2018.1463354" TargetMode="External"/><Relationship Id="rId127" Type="http://schemas.openxmlformats.org/officeDocument/2006/relationships/hyperlink" Target="https://doi.org/10.1080/07294360.2019.1657807" TargetMode="External"/><Relationship Id="rId113" Type="http://schemas.openxmlformats.org/officeDocument/2006/relationships/hyperlink" Target="https://doi.org/10.1108/EL-06-2019-0140" TargetMode="External"/><Relationship Id="rId114" Type="http://schemas.openxmlformats.org/officeDocument/2006/relationships/hyperlink" Target="https://doi.org/10.1109/ACCESS.2022.3177752" TargetMode="External"/><Relationship Id="rId144" Type="http://schemas.openxmlformats.org/officeDocument/2006/relationships/hyperlink" Target="https://doi.org/10.1109/ICASSP49660.2025.10889522" TargetMode="External"/><Relationship Id="rId143" Type="http://schemas.openxmlformats.org/officeDocument/2006/relationships/hyperlink" Target="https://doi.org/10.1109/TCSS.2025.3608484" TargetMode="External"/><Relationship Id="rId128" Type="http://schemas.openxmlformats.org/officeDocument/2006/relationships/hyperlink" Target="https://doi.org/10.1186/s41039-018-0073-0" TargetMode="External"/><Relationship Id="rId119" Type="http://schemas.openxmlformats.org/officeDocument/2006/relationships/hyperlink" Target="https://doi.org/10.18653/v1/2021.acl-long.188" TargetMode="External"/><Relationship Id="rId120" Type="http://schemas.openxmlformats.org/officeDocument/2006/relationships/hyperlink" Target="https://doi.org/10.18653/v1/2021.emnlp-main.361" TargetMode="External"/><Relationship Id="rId117" Type="http://schemas.openxmlformats.org/officeDocument/2006/relationships/hyperlink" Target="https://doi.org/10.18653/v1/2021.emnlp-main.362" TargetMode="External"/><Relationship Id="rId130" Type="http://schemas.openxmlformats.org/officeDocument/2006/relationships/hyperlink" Target="https://doi.org/10.18653/v1/2021.findings-acl.84" TargetMode="External"/><Relationship Id="rId132" Type="http://schemas.openxmlformats.org/officeDocument/2006/relationships/hyperlink" Target="https://doi.org/10.18653/v1/2023.acl-long.754" TargetMode="External"/><Relationship Id="rId110" Type="http://schemas.openxmlformats.org/officeDocument/2006/relationships/hyperlink" Target="https://doi.org/10.18653/v1/2023.emnlp-main.647" TargetMode="External"/><Relationship Id="rId109" Type="http://schemas.openxmlformats.org/officeDocument/2006/relationships/hyperlink" Target="https://doi.org/10.18653/v1/2023.findings-acl.612" TargetMode="External"/><Relationship Id="rId133" Type="http://schemas.openxmlformats.org/officeDocument/2006/relationships/hyperlink" Target="https://doi.org/10.18653/v1/2023.wassa-1.3" TargetMode="External"/><Relationship Id="rId134" Type="http://schemas.openxmlformats.org/officeDocument/2006/relationships/hyperlink" Target="https://doi.org/10.18653/v1/2024.eacl-long.167" TargetMode="External"/><Relationship Id="rId138" Type="http://schemas.openxmlformats.org/officeDocument/2006/relationships/hyperlink" Target="https://doi.org/10.18653/v1/2024.findings-acl.658" TargetMode="External"/><Relationship Id="rId135" Type="http://schemas.openxmlformats.org/officeDocument/2006/relationships/hyperlink" Target="https://doi.org/10.18653/v1/2024.findings-naacl.246" TargetMode="External"/><Relationship Id="rId136" Type="http://schemas.openxmlformats.org/officeDocument/2006/relationships/hyperlink" Target="https://doi.org/10.18653/v1/2025.acl-long.752" TargetMode="External"/><Relationship Id="rId108" Type="http://schemas.openxmlformats.org/officeDocument/2006/relationships/hyperlink" Target="https://doi.org/10.18653/v1/N19-1423" TargetMode="External"/><Relationship Id="rId107" Type="http://schemas.openxmlformats.org/officeDocument/2006/relationships/hyperlink" Target="https://doi.org/10.18653/v1/S16-1002" TargetMode="External"/><Relationship Id="rId125" Type="http://schemas.openxmlformats.org/officeDocument/2006/relationships/hyperlink" Target="https://doi.org/10.3102/003465430298487" TargetMode="External"/><Relationship Id="rId106" Type="http://schemas.openxmlformats.org/officeDocument/2006/relationships/hyperlink" Target="https://doi.org/10.3115/v1/S14-2004" TargetMode="External"/><Relationship Id="rId105"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clanthology.org/2021.eacl-main.20/" TargetMode="External"/><Relationship Id="rId115" Type="http://schemas.openxmlformats.org/officeDocument/2006/relationships/hyperlink" Target="https://aclanthology.org/2022.lrec-1.219/" TargetMode="External"/><Relationship Id="rId145" Type="http://schemas.openxmlformats.org/officeDocument/2006/relationships/hyperlink" Target="https://aclanthology.org/2024.lrec-main.1080/" TargetMode="External"/><Relationship Id="rId124" Type="http://schemas.openxmlformats.org/officeDocument/2006/relationships/hyperlink" Target="https://aclanthology.org/2024.lrec-main.879/" TargetMode="External"/><Relationship Id="rId111" Type="http://schemas.openxmlformats.org/officeDocument/2006/relationships/hyperlink" Target="https://aclanthology.org/C16-1233/" TargetMode="External"/><Relationship Id="rId112" Type="http://schemas.openxmlformats.org/officeDocument/2006/relationships/hyperlink" Target="https://aclanthology.org/L18-1425/" TargetMode="External"/><Relationship Id="rId131" Type="http://schemas.openxmlformats.org/officeDocument/2006/relationships/hyperlink" Target="https://arxiv.org/abs/2202.04538" TargetMode="External"/><Relationship Id="rId140" Type="http://schemas.openxmlformats.org/officeDocument/2006/relationships/hyperlink" Target="https://arxiv.org/abs/2411.15594" TargetMode="External"/><Relationship Id="rId141" Type="http://schemas.openxmlformats.org/officeDocument/2006/relationships/hyperlink" Target="https://arxiv.org/abs/2505.19675" TargetMode="External"/><Relationship Id="rId116" Type="http://schemas.openxmlformats.org/officeDocument/2006/relationships/hyperlink" Target="https://arxiv.org/abs/2508.17008" TargetMode="External"/><Relationship Id="rId142" Type="http://schemas.openxmlformats.org/officeDocument/2006/relationships/hyperlink" Target="https://doi.org/10.1007/s44443-025-00018-1" TargetMode="External"/><Relationship Id="rId129" Type="http://schemas.openxmlformats.org/officeDocument/2006/relationships/hyperlink" Target="https://doi.org/10.1016/j.compedu.2020.103965" TargetMode="External"/><Relationship Id="rId137" Type="http://schemas.openxmlformats.org/officeDocument/2006/relationships/hyperlink" Target="https://doi.org/10.1016/j.eswa.2024.125514" TargetMode="External"/><Relationship Id="rId122" Type="http://schemas.openxmlformats.org/officeDocument/2006/relationships/hyperlink" Target="https://doi.org/10.1016/j.nlp.2022.100003" TargetMode="External"/><Relationship Id="rId121" Type="http://schemas.openxmlformats.org/officeDocument/2006/relationships/hyperlink" Target="https://doi.org/10.1016/j.stueduc.2021.100979" TargetMode="External"/><Relationship Id="rId123" Type="http://schemas.openxmlformats.org/officeDocument/2006/relationships/hyperlink" Target="https://doi.org/10.1016/j.stueduc.2024.101406" TargetMode="External"/><Relationship Id="rId139" Type="http://schemas.openxmlformats.org/officeDocument/2006/relationships/hyperlink" Target="https://doi.org/10.1073/pnas.2305016120" TargetMode="External"/><Relationship Id="rId126" Type="http://schemas.openxmlformats.org/officeDocument/2006/relationships/hyperlink" Target="https://doi.org/10.1080/02602938.2018.1463354" TargetMode="External"/><Relationship Id="rId127" Type="http://schemas.openxmlformats.org/officeDocument/2006/relationships/hyperlink" Target="https://doi.org/10.1080/07294360.2019.1657807" TargetMode="External"/><Relationship Id="rId113" Type="http://schemas.openxmlformats.org/officeDocument/2006/relationships/hyperlink" Target="https://doi.org/10.1108/EL-06-2019-0140" TargetMode="External"/><Relationship Id="rId114" Type="http://schemas.openxmlformats.org/officeDocument/2006/relationships/hyperlink" Target="https://doi.org/10.1109/ACCESS.2022.3177752" TargetMode="External"/><Relationship Id="rId144" Type="http://schemas.openxmlformats.org/officeDocument/2006/relationships/hyperlink" Target="https://doi.org/10.1109/ICASSP49660.2025.10889522" TargetMode="External"/><Relationship Id="rId143" Type="http://schemas.openxmlformats.org/officeDocument/2006/relationships/hyperlink" Target="https://doi.org/10.1109/TCSS.2025.3608484" TargetMode="External"/><Relationship Id="rId128" Type="http://schemas.openxmlformats.org/officeDocument/2006/relationships/hyperlink" Target="https://doi.org/10.1186/s41039-018-0073-0" TargetMode="External"/><Relationship Id="rId119" Type="http://schemas.openxmlformats.org/officeDocument/2006/relationships/hyperlink" Target="https://doi.org/10.18653/v1/2021.acl-long.188" TargetMode="External"/><Relationship Id="rId120" Type="http://schemas.openxmlformats.org/officeDocument/2006/relationships/hyperlink" Target="https://doi.org/10.18653/v1/2021.emnlp-main.361" TargetMode="External"/><Relationship Id="rId117" Type="http://schemas.openxmlformats.org/officeDocument/2006/relationships/hyperlink" Target="https://doi.org/10.18653/v1/2021.emnlp-main.362" TargetMode="External"/><Relationship Id="rId130" Type="http://schemas.openxmlformats.org/officeDocument/2006/relationships/hyperlink" Target="https://doi.org/10.18653/v1/2021.findings-acl.84" TargetMode="External"/><Relationship Id="rId132" Type="http://schemas.openxmlformats.org/officeDocument/2006/relationships/hyperlink" Target="https://doi.org/10.18653/v1/2023.acl-long.754" TargetMode="External"/><Relationship Id="rId110" Type="http://schemas.openxmlformats.org/officeDocument/2006/relationships/hyperlink" Target="https://doi.org/10.18653/v1/2023.emnlp-main.647" TargetMode="External"/><Relationship Id="rId109" Type="http://schemas.openxmlformats.org/officeDocument/2006/relationships/hyperlink" Target="https://doi.org/10.18653/v1/2023.findings-acl.612" TargetMode="External"/><Relationship Id="rId133" Type="http://schemas.openxmlformats.org/officeDocument/2006/relationships/hyperlink" Target="https://doi.org/10.18653/v1/2023.wassa-1.3" TargetMode="External"/><Relationship Id="rId134" Type="http://schemas.openxmlformats.org/officeDocument/2006/relationships/hyperlink" Target="https://doi.org/10.18653/v1/2024.eacl-long.167" TargetMode="External"/><Relationship Id="rId138" Type="http://schemas.openxmlformats.org/officeDocument/2006/relationships/hyperlink" Target="https://doi.org/10.18653/v1/2024.findings-acl.658" TargetMode="External"/><Relationship Id="rId135" Type="http://schemas.openxmlformats.org/officeDocument/2006/relationships/hyperlink" Target="https://doi.org/10.18653/v1/2024.findings-naacl.246" TargetMode="External"/><Relationship Id="rId136" Type="http://schemas.openxmlformats.org/officeDocument/2006/relationships/hyperlink" Target="https://doi.org/10.18653/v1/2025.acl-long.752" TargetMode="External"/><Relationship Id="rId108" Type="http://schemas.openxmlformats.org/officeDocument/2006/relationships/hyperlink" Target="https://doi.org/10.18653/v1/N19-1423" TargetMode="External"/><Relationship Id="rId107" Type="http://schemas.openxmlformats.org/officeDocument/2006/relationships/hyperlink" Target="https://doi.org/10.18653/v1/S16-1002" TargetMode="External"/><Relationship Id="rId125" Type="http://schemas.openxmlformats.org/officeDocument/2006/relationships/hyperlink" Target="https://doi.org/10.3102/003465430298487" TargetMode="External"/><Relationship Id="rId106" Type="http://schemas.openxmlformats.org/officeDocument/2006/relationships/hyperlink" Target="https://doi.org/10.3115/v1/S14-2004" TargetMode="External"/><Relationship Id="rId105"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2026-07-03T12:02:54Z</dcterms:created>
  <dcterms:modified xsi:type="dcterms:W3CDTF">2026-07-03T12:02:54Z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