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6"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q0Eh9d/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Supervision targets and contextual attributes are sampled separately, merged through a stabilized prompt, and exported as review-level benchmark records.</w:t>
      </w:r>
    </w:p>
    <w:bookmarkEnd w:id="17"/>
    <w:bookmarkStart w:id="21"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Figure 3 summarizes the evaluation side of the study. Every reported approach begins from the same review-level corpus and the same 8,000/1,000/1,000 split, so differences in outcome come from the modeling approach rather than from incompatible data conditions. The diagram therefore emphasizes a single shared evaluation contract rather than separate model-specific pipelines: one corpus, one split, one validation stage, and one held-out reporting stage. The side annotations mark the two most important boundaries around that core flow, namely that validation is reserved for calibration and model choice, while mapped real-data transfer and generator-validation analyses are treated as complementary checks rather than replacements for the main synthetic benchmark.</w:t>
      </w:r>
    </w:p>
    <w:p>
      <w:pPr>
        <w:pStyle w:val="BodyText"/>
        <w:jc w:val="center"/>
        <w:keepNext/>
        <w:keepLines/>
        <w:widowControl w:val="1"/>
      </w:pPr>
      <w:r>
        <w:drawing>
          <wp:inline>
            <wp:extent cx="5943600" cy="3194685"/>
            <wp:effectExtent b="0" l="0" r="0" t="0"/>
            <wp:docPr descr="ABSA analysis pipeline" title="" id="19" name="Picture"/>
            <a:graphic>
              <a:graphicData uri="http://schemas.openxmlformats.org/drawingml/2006/picture">
                <pic:pic>
                  <pic:nvPicPr>
                    <pic:cNvPr descr="C:/Users/apart/AppData/Local/Temp/html2doc_svg_q0Eh9d/svg_1.png" id="20" name="Picture"/>
                    <pic:cNvPicPr>
                      <a:picLocks noChangeArrowheads="1" noChangeAspect="1"/>
                    </pic:cNvPicPr>
                  </pic:nvPicPr>
                  <pic:blipFill>
                    <a:blip r:embed="rId18"/>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All reported methods share one corpus, one split policy, one validation stage, and one held-out test report.</w:t>
      </w:r>
    </w:p>
    <w:bookmarkEnd w:id="21"/>
    <w:bookmarkStart w:id="22"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22"/>
    <w:bookmarkStart w:id="23"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3"/>
    <w:bookmarkStart w:id="24"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4"/>
    <w:bookmarkStart w:id="25"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5"/>
    <w:bookmarkEnd w:id="26"/>
    <w:bookmarkStart w:id="29" w:name="benchmark-task-and-evaluation-setup"/>
    <w:p>
      <w:pPr>
        <w:pStyle w:val="Heading2"/>
        <w:keepNext/>
        <w:keepLines/>
        <w:widowControl w:val="1"/>
      </w:pPr>
      <w:r>
        <w:t xml:space="preserve">4. Benchmark Task and Evaluation Setup</w:t>
      </w:r>
    </w:p>
    <w:bookmarkStart w:id="27"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7"/>
    <w:bookmarkStart w:id="28"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5.</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8"/>
    <w:bookmarkEnd w:id="29"/>
    <w:bookmarkStart w:id="35" w:name="generator-validation-analyses"/>
    <w:p>
      <w:pPr>
        <w:pStyle w:val="Heading2"/>
        <w:keepNext/>
        <w:keepLines/>
        <w:widowControl w:val="1"/>
      </w:pPr>
      <w:r>
        <w:t xml:space="preserve">5. Generator Validation Analyses</w:t>
      </w:r>
    </w:p>
    <w:bookmarkStart w:id="33"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31" name="Picture"/>
            <a:graphic>
              <a:graphicData uri="http://schemas.openxmlformats.org/drawingml/2006/picture">
                <pic:pic>
                  <pic:nvPicPr>
                    <pic:cNvPr descr="C:/Users/apart/AppData/Local/Temp/html2doc_svg_q0Eh9d/svg_2.png" id="32" name="Picture"/>
                    <pic:cNvPicPr>
                      <a:picLocks noChangeArrowheads="1" noChangeAspect="1"/>
                    </pic:cNvPicPr>
                  </pic:nvPicPr>
                  <pic:blipFill>
                    <a:blip r:embed="rId30"/>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33"/>
    <w:bookmarkStart w:id="34" w:name="complementary-generator-diagnostics"/>
    <w:p>
      <w:pPr>
        <w:pStyle w:val="Heading3"/>
        <w:keepNext/>
        <w:keepLines/>
        <w:widowControl w:val="1"/>
      </w:pPr>
      <w:r>
        <w:t xml:space="preserve">5.2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4"/>
    <w:bookmarkEnd w:id="35"/>
    <w:bookmarkStart w:id="72"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5943600" cy="4272623"/>
            <wp:effectExtent b="0" l="0" r="0" t="0"/>
            <wp:docPr descr="Aspect sentiment heatmap" title="" id="37" name="Picture"/>
            <a:graphic>
              <a:graphicData uri="http://schemas.openxmlformats.org/drawingml/2006/picture">
                <pic:pic>
                  <pic:nvPicPr>
                    <pic:cNvPr descr="C:/Users/apart/AppData/Local/Temp/html2doc_svg_q0Eh9d/svg_3.png" id="38" name="Picture"/>
                    <pic:cNvPicPr>
                      <a:picLocks noChangeArrowheads="1" noChangeAspect="1"/>
                    </pic:cNvPicPr>
                  </pic:nvPicPr>
                  <pic:blipFill>
                    <a:blip r:embed="rId36"/>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40" name="Picture"/>
            <a:graphic>
              <a:graphicData uri="http://schemas.openxmlformats.org/drawingml/2006/picture">
                <pic:pic>
                  <pic:nvPicPr>
                    <pic:cNvPr descr="C:/Users/apart/AppData/Local/Temp/html2doc_svg_q0Eh9d/svg_4.png" id="41" name="Picture"/>
                    <pic:cNvPicPr>
                      <a:picLocks noChangeArrowheads="1" noChangeAspect="1"/>
                    </pic:cNvPicPr>
                  </pic:nvPicPr>
                  <pic:blipFill>
                    <a:blip r:embed="rId39"/>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42"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4 and Figure 5 establish the corpus-level structure before any model results are introduced. Figure 4 shows how label support is distributed across aspects and sentiment polarities, which makes it easier to distinguish heavily represented pedagogical dimensions from thinner parts of the schema. Figure 5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42"/>
    <w:bookmarkStart w:id="43" w:name="scope-of-reported-analyses"/>
    <w:p>
      <w:pPr>
        <w:pStyle w:val="Heading3"/>
        <w:keepNext/>
        <w:keepLines/>
        <w:widowControl w:val="1"/>
      </w:pPr>
      <w:r>
        <w:t xml:space="preserve">6.2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3"/>
    <w:bookmarkStart w:id="47"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6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45" name="Picture"/>
            <a:graphic>
              <a:graphicData uri="http://schemas.openxmlformats.org/drawingml/2006/picture">
                <pic:pic>
                  <pic:nvPicPr>
                    <pic:cNvPr descr="C:/Users/apart/AppData/Local/Temp/html2doc_svg_q0Eh9d/svg_5.png" id="46" name="Picture"/>
                    <pic:cNvPicPr>
                      <a:picLocks noChangeArrowheads="1" noChangeAspect="1"/>
                    </pic:cNvPicPr>
                  </pic:nvPicPr>
                  <pic:blipFill>
                    <a:blip r:embed="rId44"/>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47"/>
    <w:bookmarkStart w:id="48"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8"/>
    <w:bookmarkStart w:id="52"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50" name="Picture"/>
            <a:graphic>
              <a:graphicData uri="http://schemas.openxmlformats.org/drawingml/2006/picture">
                <pic:pic>
                  <pic:nvPicPr>
                    <pic:cNvPr descr="C:/Users/apart/AppData/Local/Temp/html2doc_svg_q0Eh9d/svg_6.png" id="51" name="Picture"/>
                    <pic:cNvPicPr>
                      <a:picLocks noChangeArrowheads="1" noChangeAspect="1"/>
                    </pic:cNvPicPr>
                  </pic:nvPicPr>
                  <pic:blipFill>
                    <a:blip r:embed="rId49"/>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52"/>
    <w:bookmarkStart w:id="59"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8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8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54" name="Picture"/>
            <a:graphic>
              <a:graphicData uri="http://schemas.openxmlformats.org/drawingml/2006/picture">
                <pic:pic>
                  <pic:nvPicPr>
                    <pic:cNvPr descr="C:/Users/apart/AppData/Local/Temp/html2doc_svg_q0Eh9d/svg_7.png" id="55" name="Picture"/>
                    <pic:cNvPicPr>
                      <a:picLocks noChangeArrowheads="1" noChangeAspect="1"/>
                    </pic:cNvPicPr>
                  </pic:nvPicPr>
                  <pic:blipFill>
                    <a:blip r:embed="rId5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57" name="Picture"/>
            <a:graphic>
              <a:graphicData uri="http://schemas.openxmlformats.org/drawingml/2006/picture">
                <pic:pic>
                  <pic:nvPicPr>
                    <pic:cNvPr descr="C:/Users/apart/AppData/Local/Temp/html2doc_svg_q0Eh9d/svg_8.png" id="58" name="Picture"/>
                    <pic:cNvPicPr>
                      <a:picLocks noChangeArrowheads="1" noChangeAspect="1"/>
                    </pic:cNvPicPr>
                  </pic:nvPicPr>
                  <pic:blipFill>
                    <a:blip r:embed="rId5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9.</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9"/>
    <w:bookmarkStart w:id="60"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60"/>
    <w:bookmarkStart w:id="61"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5 makes this visible directly by combining length, aspect-count, course, and style evidence in one place.</w:t>
      </w:r>
    </w:p>
    <w:bookmarkEnd w:id="61"/>
    <w:bookmarkStart w:id="62"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62"/>
    <w:bookmarkStart w:id="66"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9.</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p>
      <w:pPr>
        <w:pStyle w:val="BodyText"/>
        <w:jc w:val="center"/>
        <w:keepNext/>
        <w:keepLines/>
        <w:widowControl w:val="1"/>
      </w:pPr>
      <w:r>
        <w:drawing>
          <wp:inline>
            <wp:extent cx="5943600" cy="3194685"/>
            <wp:effectExtent b="0" l="0" r="0" t="0"/>
            <wp:docPr descr="Realism validation and prompt refinement pipeline" title="" id="64" name="Picture"/>
            <a:graphic>
              <a:graphicData uri="http://schemas.openxmlformats.org/drawingml/2006/picture">
                <pic:pic>
                  <pic:nvPicPr>
                    <pic:cNvPr descr="C:/Users/apart/AppData/Local/Temp/html2doc_svg_q0Eh9d/svg_9.png" id="65" name="Picture"/>
                    <pic:cNvPicPr>
                      <a:picLocks noChangeArrowheads="1" noChangeAspect="1"/>
                    </pic:cNvPicPr>
                  </pic:nvPicPr>
                  <pic:blipFill>
                    <a:blip r:embed="rId63"/>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10.</w:t>
      </w:r>
      <w:r>
        <w:rPr>
          <w:b w:val="0"/>
          <w:i/>
        </w:rPr>
        <w:t xml:space="preserve"> </w:t>
      </w:r>
      <w:r>
        <w:rPr>
          <w:b w:val="0"/>
          <w:i/>
        </w:rPr>
        <w:t>The realism-validation loop. A judge evaluates one blended pool of real and synthetic reviews, the resulting metrics and cue evidence are summarized, and prompt revision affects the next cycle.</w:t>
      </w:r>
    </w:p>
    <w:bookmarkEnd w:id="66"/>
    <w:bookmarkStart w:id="70" w:name="Xd7172303a2a7df33ecbf786e84e1f7cb8de8754"/>
    <w:p>
      <w:pPr>
        <w:pStyle w:val="Heading3"/>
        <w:keepNext/>
        <w:keepLines/>
        <w:widowControl w:val="1"/>
      </w:pPr>
      <w:r>
        <w:t xml:space="preserve">6.7D Faithfulness-Aware Filtering of the Training Corpus</w:t>
      </w:r>
    </w:p>
    <w:p>
      <w:pPr>
        <w:pStyle w:val="FirstParagraph"/>
        <w:jc w:val="both"/>
        <w:keepNext w:val="0"/>
        <w:keepLines w:val="0"/>
        <w:widowControl w:val="1"/>
      </w:pPr>
      <w:r>
        <w:t xml:space="preserve">The 250-row audit in Section 6.7B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6.3 recipe and evaluated each resulting model on two transfer targets: the same 9-aspect mapped Herath benchmark used in Section 6.6,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§6.7D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8F. Cross-architecture and cross-target replication of the §6.7D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68" name="Picture"/>
            <a:graphic>
              <a:graphicData uri="http://schemas.openxmlformats.org/drawingml/2006/picture">
                <pic:pic>
                  <pic:nvPicPr>
                    <pic:cNvPr descr="C:/Users/apart/AppData/Local/Temp/html2doc_svg_q0Eh9d/svg_10.png" id="69" name="Picture"/>
                    <pic:cNvPicPr>
                      <a:picLocks noChangeArrowheads="1" noChangeAspect="1"/>
                    </pic:cNvPicPr>
                  </pic:nvPicPr>
                  <pic:blipFill>
                    <a:blip r:embed="rId67"/>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11.</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6.7B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70"/>
    <w:bookmarkStart w:id="71"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71"/>
    <w:bookmarkEnd w:id="72"/>
    <w:bookmarkStart w:id="76"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73"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6.7D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73"/>
    <w:bookmarkStart w:id="74"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6.7D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74"/>
    <w:bookmarkStart w:id="75"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75"/>
    <w:bookmarkEnd w:id="76"/>
    <w:bookmarkStart w:id="77"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7"/>
    <w:bookmarkStart w:id="100" w:name="appendix"/>
    <w:p>
      <w:pPr>
        <w:pStyle w:val="Heading2"/>
        <w:keepNext/>
        <w:keepLines/>
        <w:widowControl w:val="1"/>
      </w:pPr>
      <w:r>
        <w:t xml:space="preserve">Appendix</w:t>
      </w:r>
    </w:p>
    <w:bookmarkStart w:id="78"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78"/>
    <w:bookmarkStart w:id="79"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79"/>
    <w:bookmarkStart w:id="80"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80"/>
    <w:bookmarkStart w:id="81"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8.</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81"/>
    <w:bookmarkStart w:id="85"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83" name="Picture"/>
            <a:graphic>
              <a:graphicData uri="http://schemas.openxmlformats.org/drawingml/2006/picture">
                <pic:pic>
                  <pic:nvPicPr>
                    <pic:cNvPr descr="C:/Users/apart/AppData/Local/Temp/html2doc_svg_q0Eh9d/svg_11.png" id="84" name="Picture"/>
                    <pic:cNvPicPr>
                      <a:picLocks noChangeArrowheads="1" noChangeAspect="1"/>
                    </pic:cNvPicPr>
                  </pic:nvPicPr>
                  <pic:blipFill>
                    <a:blip r:embed="rId82"/>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85"/>
    <w:bookmarkStart w:id="86"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86"/>
    <w:bookmarkStart w:id="90"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88" name="Picture"/>
            <a:graphic>
              <a:graphicData uri="http://schemas.openxmlformats.org/drawingml/2006/picture">
                <pic:pic>
                  <pic:nvPicPr>
                    <pic:cNvPr descr="C:/Users/apart/AppData/Local/Temp/html2doc_svg_q0Eh9d/svg_12.png" id="89" name="Picture"/>
                    <pic:cNvPicPr>
                      <a:picLocks noChangeArrowheads="1" noChangeAspect="1"/>
                    </pic:cNvPicPr>
                  </pic:nvPicPr>
                  <pic:blipFill>
                    <a:blip r:embed="rId87"/>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90"/>
    <w:bookmarkStart w:id="91"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91"/>
    <w:bookmarkStart w:id="98"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93" name="Picture"/>
            <a:graphic>
              <a:graphicData uri="http://schemas.openxmlformats.org/drawingml/2006/picture">
                <pic:pic>
                  <pic:nvPicPr>
                    <pic:cNvPr descr="C:/Users/apart/AppData/Local/Temp/html2doc_svg_q0Eh9d/svg_13.png" id="94" name="Picture"/>
                    <pic:cNvPicPr>
                      <a:picLocks noChangeArrowheads="1" noChangeAspect="1"/>
                    </pic:cNvPicPr>
                  </pic:nvPicPr>
                  <pic:blipFill>
                    <a:blip r:embed="rId92"/>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96" name="Picture"/>
            <a:graphic>
              <a:graphicData uri="http://schemas.openxmlformats.org/drawingml/2006/picture">
                <pic:pic>
                  <pic:nvPicPr>
                    <pic:cNvPr descr="C:/Users/apart/AppData/Local/Temp/html2doc_svg_q0Eh9d/svg_14.png" id="97" name="Picture"/>
                    <pic:cNvPicPr>
                      <a:picLocks noChangeArrowheads="1" noChangeAspect="1"/>
                    </pic:cNvPicPr>
                  </pic:nvPicPr>
                  <pic:blipFill>
                    <a:blip r:embed="rId95"/>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98"/>
    <w:bookmarkStart w:id="99"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99"/>
    <w:bookmarkEnd w:id="100"/>
    <w:bookmarkStart w:id="13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1">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2">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3">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4">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5">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6">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7">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8">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9">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0">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1">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2">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3">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4">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5">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6">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7">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8">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9">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0">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1">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2">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3">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4">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5">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6">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7">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8">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9">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0">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1">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3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8" Type="http://schemas.openxmlformats.org/officeDocument/2006/relationships/image" Target="media/rId18.png"/><Relationship Id="rId67" Type="http://schemas.openxmlformats.org/officeDocument/2006/relationships/image" Target="media/rId67.png"/><Relationship Id="rId82" Type="http://schemas.openxmlformats.org/officeDocument/2006/relationships/image" Target="media/rId82.png"/><Relationship Id="rId87" Type="http://schemas.openxmlformats.org/officeDocument/2006/relationships/image" Target="media/rId87.png"/><Relationship Id="rId92" Type="http://schemas.openxmlformats.org/officeDocument/2006/relationships/image" Target="media/rId92.png"/><Relationship Id="rId95" Type="http://schemas.openxmlformats.org/officeDocument/2006/relationships/image" Target="media/rId95.png"/><Relationship Id="rId30" Type="http://schemas.openxmlformats.org/officeDocument/2006/relationships/image" Target="media/rId30.png"/><Relationship Id="rId36" Type="http://schemas.openxmlformats.org/officeDocument/2006/relationships/image" Target="media/rId36.png"/><Relationship Id="rId39" Type="http://schemas.openxmlformats.org/officeDocument/2006/relationships/image" Target="media/rId39.png"/><Relationship Id="rId44" Type="http://schemas.openxmlformats.org/officeDocument/2006/relationships/image" Target="media/rId44.png"/><Relationship Id="rId49" Type="http://schemas.openxmlformats.org/officeDocument/2006/relationships/image" Target="media/rId49.png"/><Relationship Id="rId53" Type="http://schemas.openxmlformats.org/officeDocument/2006/relationships/image" Target="media/rId53.png"/><Relationship Id="rId56" Type="http://schemas.openxmlformats.org/officeDocument/2006/relationships/image" Target="media/rId56.png"/><Relationship Id="rId63" Type="http://schemas.openxmlformats.org/officeDocument/2006/relationships/image" Target="media/rId63.png"/><Relationship Id="rId115" Type="http://schemas.openxmlformats.org/officeDocument/2006/relationships/hyperlink" Target="https://aclanthology.org/2021.acl-long.188/" TargetMode="External"/><Relationship Id="rId114" Type="http://schemas.openxmlformats.org/officeDocument/2006/relationships/hyperlink" Target="https://aclanthology.org/2021.eacl-main.20/" TargetMode="External"/><Relationship Id="rId116" Type="http://schemas.openxmlformats.org/officeDocument/2006/relationships/hyperlink" Target="https://aclanthology.org/2021.emnlp-main.361/" TargetMode="External"/><Relationship Id="rId113" Type="http://schemas.openxmlformats.org/officeDocument/2006/relationships/hyperlink" Target="https://aclanthology.org/2021.emnlp-main.362/" TargetMode="External"/><Relationship Id="rId126"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8"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9" Type="http://schemas.openxmlformats.org/officeDocument/2006/relationships/hyperlink" Target="https://aclanthology.org/2023.wassa-1.3/" TargetMode="External"/><Relationship Id="rId130" Type="http://schemas.openxmlformats.org/officeDocument/2006/relationships/hyperlink" Target="https://aclanthology.org/2024.eacl-long.167/" TargetMode="External"/><Relationship Id="rId131" Type="http://schemas.openxmlformats.org/officeDocument/2006/relationships/hyperlink" Target="https://aclanthology.org/2024.findings-naacl.246/" TargetMode="External"/><Relationship Id="rId120"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12" Type="http://schemas.openxmlformats.org/officeDocument/2006/relationships/hyperlink" Target="https://arxiv.org/abs/2508.17008" TargetMode="External"/><Relationship Id="rId125" Type="http://schemas.openxmlformats.org/officeDocument/2006/relationships/hyperlink" Target="https://doi.org/10.1016/j.compedu.2020.103965" TargetMode="External"/><Relationship Id="rId118" Type="http://schemas.openxmlformats.org/officeDocument/2006/relationships/hyperlink" Target="https://doi.org/10.1016/j.nlp.2022.100003" TargetMode="External"/><Relationship Id="rId117" Type="http://schemas.openxmlformats.org/officeDocument/2006/relationships/hyperlink" Target="https://doi.org/10.1016/j.stueduc.2021.100979" TargetMode="External"/><Relationship Id="rId119" Type="http://schemas.openxmlformats.org/officeDocument/2006/relationships/hyperlink" Target="https://doi.org/10.1016/j.stueduc.2024.101406" TargetMode="External"/><Relationship Id="rId122" Type="http://schemas.openxmlformats.org/officeDocument/2006/relationships/hyperlink" Target="https://doi.org/10.1080/02602938.2018.1463354" TargetMode="External"/><Relationship Id="rId123"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4" Type="http://schemas.openxmlformats.org/officeDocument/2006/relationships/hyperlink" Target="https://doi.org/10.1186/s41039-018-0073-0" TargetMode="External"/><Relationship Id="rId121" Type="http://schemas.openxmlformats.org/officeDocument/2006/relationships/hyperlink" Target="https://doi.org/10.3102/003465430298487" TargetMode="External"/><Relationship Id="rId127"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5" Type="http://schemas.openxmlformats.org/officeDocument/2006/relationships/hyperlink" Target="https://aclanthology.org/2021.acl-long.188/" TargetMode="External"/><Relationship Id="rId114" Type="http://schemas.openxmlformats.org/officeDocument/2006/relationships/hyperlink" Target="https://aclanthology.org/2021.eacl-main.20/" TargetMode="External"/><Relationship Id="rId116" Type="http://schemas.openxmlformats.org/officeDocument/2006/relationships/hyperlink" Target="https://aclanthology.org/2021.emnlp-main.361/" TargetMode="External"/><Relationship Id="rId113" Type="http://schemas.openxmlformats.org/officeDocument/2006/relationships/hyperlink" Target="https://aclanthology.org/2021.emnlp-main.362/" TargetMode="External"/><Relationship Id="rId126"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8"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9" Type="http://schemas.openxmlformats.org/officeDocument/2006/relationships/hyperlink" Target="https://aclanthology.org/2023.wassa-1.3/" TargetMode="External"/><Relationship Id="rId130" Type="http://schemas.openxmlformats.org/officeDocument/2006/relationships/hyperlink" Target="https://aclanthology.org/2024.eacl-long.167/" TargetMode="External"/><Relationship Id="rId131" Type="http://schemas.openxmlformats.org/officeDocument/2006/relationships/hyperlink" Target="https://aclanthology.org/2024.findings-naacl.246/" TargetMode="External"/><Relationship Id="rId120"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12" Type="http://schemas.openxmlformats.org/officeDocument/2006/relationships/hyperlink" Target="https://arxiv.org/abs/2508.17008" TargetMode="External"/><Relationship Id="rId125" Type="http://schemas.openxmlformats.org/officeDocument/2006/relationships/hyperlink" Target="https://doi.org/10.1016/j.compedu.2020.103965" TargetMode="External"/><Relationship Id="rId118" Type="http://schemas.openxmlformats.org/officeDocument/2006/relationships/hyperlink" Target="https://doi.org/10.1016/j.nlp.2022.100003" TargetMode="External"/><Relationship Id="rId117" Type="http://schemas.openxmlformats.org/officeDocument/2006/relationships/hyperlink" Target="https://doi.org/10.1016/j.stueduc.2021.100979" TargetMode="External"/><Relationship Id="rId119" Type="http://schemas.openxmlformats.org/officeDocument/2006/relationships/hyperlink" Target="https://doi.org/10.1016/j.stueduc.2024.101406" TargetMode="External"/><Relationship Id="rId122" Type="http://schemas.openxmlformats.org/officeDocument/2006/relationships/hyperlink" Target="https://doi.org/10.1080/02602938.2018.1463354" TargetMode="External"/><Relationship Id="rId123"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4" Type="http://schemas.openxmlformats.org/officeDocument/2006/relationships/hyperlink" Target="https://doi.org/10.1186/s41039-018-0073-0" TargetMode="External"/><Relationship Id="rId121" Type="http://schemas.openxmlformats.org/officeDocument/2006/relationships/hyperlink" Target="https://doi.org/10.3102/003465430298487" TargetMode="External"/><Relationship Id="rId127"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2026-06-04T18:10:20Z</dcterms:created>
  <dcterms:modified xsi:type="dcterms:W3CDTF">2026-06-04T18:10:20Z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