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feedback is private and costly to annotate, with a methodology that applies beyond it. We release a controlled corpus of 10,000 synthetic course reviews over a 20-aspect pedagogical schema, generated by sampling supervision targets separately from nuance attributes, so the same labels recur across varied course contexts and styles. We then introduce a faithfulness-aware pipeline: a cost-matched LLM audit scores how well each declared label is supported by the text, and that score both filters the training data and is itself validated across independent LLM judges and against human labels (Cohen's kappa 0.56 on two annotated corpora, and 0.62 with a fully independent model family); both the generation pipeline and the prompted baseline reproduce across four generator families spanning four providers, so the recipe is not tied to a single provider.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(the unbiased metric), faithfulness-aware row filtering lowers transferred sentiment error on Herath across two architectures (paired 95% bootstrap CI excludes zero), and a lowest-faithfulness control collapses transfer on both real benchmarks (Herath and EduRABSA). Synthetic-only training recovers about 60% of a real-trained model, and synthetic pre-training followed by real fine-tuning exceeds real-only training. The audit-filter-validate recipe is a general tool for quality-controlling LLM-supervised data; the corpus and code are released.</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that collapses transfer across two architectures and two real targets, a size-matched filtering gain on the Herath target, direct validation against human labels (Cohen's kappa 0.56 on two annotated corpora), and reproduction of the pipeline across four generator families spanning four providers so the recipe is not tied to a single generator,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A recent line of work formalizes this as a generation, curation, and evaluation pipeline [34] and turns directly to controlling the quality of LLM-supervised data: synthetic ABSA generators add label-refinement modules for few-shot transfer [32], LLM-generated samples help ABSA in low-resource regimes [33], and downstream classifiers can be calibrated against LLM-generated label noise after training [37]. The present work sits on the data side of that pipeline: rather than refining labels inside the generator [32] or correcting the classifier downstream [37], it audits each declared label for textual support, filters the corpus before training, and validates that audit against human labels. This caution is especially relevant here because educational ABSA is a subjective and domain-specific task whose label space often reflects local pedagogical practice rather than a universal ontology. More broadly, prompting and representation learning with large models are advancing rapidly on adjacent problems, from probing how vision-language models perceive nuanced signals such as multimodal sarcasm [39] to exploiting relational structure among unlabelled samples for generalized category discovery [40]; our contribution is orthogonal to these modeling advances, targeting instead the data-quality control of LLM-supervised labels.</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A recent systematic review of aspect-based sentiment analysis in MOOC settings similarly catalogs the aspect schemas and methods used across educational platforms [38]. Together, this literature supports the relevance of the problem, clarifies why real labeled educational data are difficult to obtain at scale, and explains why a synthetic educational ABSA resource may be useful even when realism validation remains a separate concern. Table 1 positions the present study against these prior educational-feedback resources.</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generator realism diagnostic, and conservative transfer checks on two real corpora (9- and 7-aspect overlaps)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2823210"/>
            <wp:effectExtent b="0" l="0" r="0" t="0"/>
            <wp:docPr descr="Synthetic data generation pipeline" title="" id="15" name="Picture"/>
            <a:graphic>
              <a:graphicData uri="http://schemas.openxmlformats.org/drawingml/2006/picture">
                <pic:pic>
                  <pic:nvPicPr>
                    <pic:cNvPr descr="C:/Users/apart/AppData/Local/Temp/html2doc_svg_l3KOoh/svg_0.png" id="16" name="Picture"/>
                    <pic:cNvPicPr>
                      <a:picLocks noChangeArrowheads="1" noChangeAspect="1"/>
                    </pic:cNvPicPr>
                  </pic:nvPicPr>
                  <pic:blipFill>
                    <a:blip r:embed="rId14"/>
                    <a:stretch>
                      <a:fillRect/>
                    </a:stretch>
                  </pic:blipFill>
                  <pic:spPr bwMode="auto">
                    <a:xfrm>
                      <a:off x="0" y="0"/>
                      <a:ext cx="5943600" cy="28232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synthetic course-review generation pipeline.</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follows the intended 30/40/30 policy over one-, two-, and three-aspect reviews, with counts of 3,032, 3,917, and 3,051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These capped rows are modestly different from complete rows, shorter (mean 100 vs 119 words) and carrying fewer aspects (a 0.07 versus 0.33 share of three-aspect reviews), with a similar sentiment mix (Appendix A.18). Retraining the benchmark with these 841 rows excluded leaves held-out detection essentially unchanged (micro-F1 0.264 versus 0.275, macro balanced accuracy 0.613 versus 0.619 across three seeds), so the corpus is robust to their inclusion. Regenerating exactly these rows at a raised output cap also removes the truncation and restores full-corpus length-band adherence to the never-truncated level (Appendix A.14). The generation length budget is also a deliberate and realistic constraint rather than only a limitation: real course-feedback platforms cap how much a student can write, and the retained reviews match the length profile of real full-length course reviews. On the public OMSCS reviews, the retained synthetic reviews have a median of 122 words against 104 for the real reviews, and 92% fall within the real 10th-to-90th-percentile band of 43 to 311 words (they diverge only from Herath, whose entries are sentence-level snippets rather than whole reviews).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roles, and it is important not to conflate them when judging the scope of the evidence. The first role is a small blinded reference pool of 32 public OMSCS reviews drawn from four course pages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w:t>
      </w:r>
      <w:r>
        <w:t xml:space="preserve"> </w:t>
      </w:r>
      <w:r>
        <w:rPr>
          <w:rStyle w:val="VerbatimChar"/>
        </w:rPr>
        <w:t xml:space="preserve">CS-7641</w:t>
      </w:r>
      <w:r>
        <w:t xml:space="preserve">); these are never used for training, validation, or test evaluation, only as blinded items in the real-versus-synthetic judge loop so prompt changes can be checked against naturally occurring educational-review language, and this pool is freely enlargeable from public sources (for example, thousands of RateMyProfessor teaching-feedback comments are available). The 32-review figure therefore bounds a diagnostic loop, not the benchmark's real-data scope. The second role, which is the actual external evaluation, uses two independent annotated real corpora under two different annotation schemes: the student-feedback corpus of Herath et al. [11] (2,829 reviews, conservatively mapped to a 9-aspect overlap) and EduRABSA (mapped to a 7-aspect overlap). Models trained only on synthetic data are evaluated out of domain on both, so the transfer evidence rests on thousands of real reviews across two schemes rather than on the blinded realism pool. This distinction matters for interpretation: synthetic data define the main ABSA benchmark, while real data are reserved for generator analysis and for two independent external evaluations.</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A7.</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A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47"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After mapping the reported analyses to their data and splits, we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The corpus profile and representative examples, corpus-scale output-control statistics, and the three-cycle realism-validation procedure are reported in full in the appendix as generator diagnostics.</w:t>
      </w:r>
    </w:p>
    <w:bookmarkStart w:id="27" w:name="scope-of-reported-analyses"/>
    <w:p>
      <w:pPr>
        <w:pStyle w:val="Heading3"/>
        <w:keepNext/>
        <w:keepLines/>
        <w:widowControl w:val="1"/>
      </w:pPr>
      <w:r>
        <w:t xml:space="preserve">5.1 Scope of Reported Analyses</w:t>
      </w:r>
    </w:p>
    <w:p>
      <w:pPr>
        <w:pStyle w:val="TableCaption"/>
        <w:spacing w:before="280" w:after="60" w:line="240" w:lineRule="auto"/>
        <w:jc w:val="center"/>
        <w:keepNext/>
        <w:keepLines/>
        <w:widowControl w:val="1"/>
      </w:pPr>
      <w:r>
        <w:rPr>
          <w:b/>
          <w:i/>
        </w:rPr>
        <w:t>Table 5.</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5.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reviews; 8k / 1k / 1k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per-aspect and robustness summaries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learnability and model-comparison evidence (20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Prompted inference baselines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Same 1,000-review held-out test split;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Zero-shot detection and sentiment metrics across four provider families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baselines under the same label contract as the trained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transfer (two corpora)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(2,829, 9-aspect overlap) and EduRABSA (7-aspect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Real-data check on two independent annotated feedback spaces.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judge cycles; public OMSCS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diagnostic of how realism cues were reduced.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250-review corpus sample plus 25-review pilot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Aspect-support and sentiment-match rates versus declared labels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to read the corpus as a useful but imperfect resource.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Generator and output-control robustness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150 prompts across four generator families; the 841 output-capped rows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Per-family audit fidelity; length-band adherence recovery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Shows the pipeline is provider-agnostic and truncation is recoverable.</w:t>
            </w:r>
          </w:p>
        </w:tc>
      </w:tr>
    </w:tbl>
    <w:p>
      <w:pPr>
        <w:pStyle w:val="BodyText"/>
        <w:spacing w:before="240"/>
        <w:jc w:val="both"/>
        <w:keepNext w:val="0"/>
        <w:keepLines w:val="0"/>
        <w:widowControl w:val="1"/>
      </w:pPr>
      <w:r>
        <w:t xml:space="preserve">Table 5 therefore complements rather than repeats Table 3. Table 3 says which method families are executed, while Table 5 says what each analysis block is meant to establish, which split it uses, and how it should be interpreted alongside the main benchmark.</w:t>
      </w:r>
    </w:p>
    <w:bookmarkEnd w:id="27"/>
    <w:bookmarkStart w:id="31" w:name="Xb756ca2b27320c8b9bc4788dcc281a891af5b5f"/>
    <w:p>
      <w:pPr>
        <w:pStyle w:val="Heading3"/>
        <w:keepNext/>
        <w:keepLines/>
        <w:widowControl w:val="1"/>
      </w:pPr>
      <w:r>
        <w:t xml:space="preserve">5.2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detection, at macro balanced accuracy 0.623 and macro AUROC 0.681 (micro-F1 0.276, detected-aspect sentiment MSE 0.4959), followed by</w:t>
      </w:r>
      <w:r>
        <w:t xml:space="preserve"> </w:t>
      </w:r>
      <w:r>
        <w:rPr>
          <w:rStyle w:val="VerbatimChar"/>
        </w:rPr>
        <w:t xml:space="preserve">distilbert-base-uncased</w:t>
      </w:r>
      <w:r>
        <w:t xml:space="preserve"> </w:t>
      </w:r>
      <w:r>
        <w:t xml:space="preserve">at balanced accuracy 0.621 (micro-F1 0.2691). The joint variants remain competitive but lower (</w:t>
      </w:r>
      <w:r>
        <w:rPr>
          <w:rStyle w:val="VerbatimChar"/>
        </w:rPr>
        <w:t xml:space="preserve">distilbert_joint</w:t>
      </w:r>
      <w:r>
        <w:t xml:space="preserve"> </w:t>
      </w:r>
      <w:r>
        <w:t xml:space="preserve">micro-F1 0.2524,</w:t>
      </w:r>
      <w:r>
        <w:t xml:space="preserve"> </w:t>
      </w:r>
      <w:r>
        <w:rPr>
          <w:rStyle w:val="VerbatimChar"/>
        </w:rPr>
        <w:t xml:space="preserve">bert_joint</w:t>
      </w:r>
      <w:r>
        <w:t xml:space="preserve"> </w:t>
      </w:r>
      <w:r>
        <w:t xml:space="preserve">0.2447), which supports the two-step decomposition as the clearest baseline family in this benchmark. We lead with balanced accuracy and threshold-free AUROC rather than micro-F1 because micro-F1 is a deliberately strict operating-point metric here: with one to three aspects per review among twenty mostly-absent labels, the trivial all-present baseline already scores 0.183 micro-F1, so the absolute level is compressed by the task structure and the measured label noise rather than by weak representations. Micro-F1 is retained throughout the tables as the standard comparable metric, but it is read alongside balanced accuracy and ranking quality, not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6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5.7),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5.7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6 provides the exact values for the executed local benchmark. Figure 2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6.</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6.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29" name="Picture"/>
            <a:graphic>
              <a:graphicData uri="http://schemas.openxmlformats.org/drawingml/2006/picture">
                <pic:pic>
                  <pic:nvPicPr>
                    <pic:cNvPr descr="C:/Users/apart/AppData/Local/Temp/html2doc_svg_l3KOoh/svg_1.png" id="30" name="Picture"/>
                    <pic:cNvPicPr>
                      <a:picLocks noChangeArrowheads="1" noChangeAspect="1"/>
                    </pic:cNvPicPr>
                  </pic:nvPicPr>
                  <pic:blipFill>
                    <a:blip r:embed="rId28"/>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1"/>
    <w:bookmarkStart w:id="32" w:name="gpt-based-inference-methods"/>
    <w:p>
      <w:pPr>
        <w:pStyle w:val="Heading3"/>
        <w:keepNext/>
        <w:keepLines/>
        <w:widowControl w:val="1"/>
      </w:pPr>
      <w:r>
        <w:t xml:space="preserve">5.3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TableCaption"/>
        <w:spacing w:before="280" w:after="60" w:line="240" w:lineRule="auto"/>
        <w:jc w:val="center"/>
        <w:keepNext/>
        <w:keepLines/>
        <w:widowControl w:val="1"/>
      </w:pPr>
      <w:r>
        <w:rPr>
          <w:b/>
          <w:i/>
        </w:rPr>
        <w:t>Table 7.</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7.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Because</w:t>
      </w:r>
      <w:r>
        <w:t xml:space="preserve"> </w:t>
      </w:r>
      <w:r>
        <w:rPr>
          <w:rStyle w:val="VerbatimChar"/>
        </w:rPr>
        <w:t xml:space="preserve">gpt-5.2</w:t>
      </w:r>
      <w:r>
        <w:t xml:space="preserve"> </w:t>
      </w:r>
      <w:r>
        <w:t xml:space="preserve">also serves as the strict faithfulness auditor (Section 5.6) and shares a provider family with the</w:t>
      </w:r>
      <w:r>
        <w:t xml:space="preserve"> </w:t>
      </w:r>
      <w:r>
        <w:rPr>
          <w:rStyle w:val="VerbatimChar"/>
        </w:rPr>
        <w:t xml:space="preserve">gpt-5-nano</w:t>
      </w:r>
      <w:r>
        <w:t xml:space="preserve"> </w:t>
      </w:r>
      <w:r>
        <w:t xml:space="preserve">generator, these are reported as same-family reference baselines rather than independent external systems.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p>
      <w:pPr>
        <w:pStyle w:val="BodyText"/>
        <w:jc w:val="both"/>
        <w:keepNext w:val="0"/>
        <w:keepLines w:val="0"/>
        <w:widowControl w:val="1"/>
      </w:pPr>
      <w:r>
        <w:t xml:space="preserve">Because</w:t>
      </w:r>
      <w:r>
        <w:t xml:space="preserve"> </w:t>
      </w:r>
      <w:r>
        <w:rPr>
          <w:rStyle w:val="VerbatimChar"/>
        </w:rPr>
        <w:t xml:space="preserve">gpt-5.2</w:t>
      </w:r>
      <w:r>
        <w:t xml:space="preserve"> </w:t>
      </w:r>
      <w:r>
        <w:t xml:space="preserve">is a same-family baseline, we additionally ran the identical zero-shot-glossary contract across four generator families spanning four providers, OpenAI</w:t>
      </w:r>
      <w:r>
        <w:t xml:space="preserve"> </w:t>
      </w:r>
      <w:r>
        <w:rPr>
          <w:rStyle w:val="VerbatimChar"/>
        </w:rPr>
        <w:t xml:space="preserve">gpt-5.4</w:t>
      </w:r>
      <w:r>
        <w:t xml:space="preserve">, Google</w:t>
      </w:r>
      <w:r>
        <w:t xml:space="preserve"> </w:t>
      </w:r>
      <w:r>
        <w:rPr>
          <w:rStyle w:val="VerbatimChar"/>
        </w:rPr>
        <w:t xml:space="preserve">gemini-2.5-flash</w:t>
      </w:r>
      <w:r>
        <w:t xml:space="preserve">, Zhipu</w:t>
      </w:r>
      <w:r>
        <w:t xml:space="preserve"> </w:t>
      </w:r>
      <w:r>
        <w:rPr>
          <w:rStyle w:val="VerbatimChar"/>
        </w:rPr>
        <w:t xml:space="preserve">glm-4.6</w:t>
      </w:r>
      <w:r>
        <w:t xml:space="preserve">, and Meta</w:t>
      </w:r>
      <w:r>
        <w:t xml:space="preserve"> </w:t>
      </w:r>
      <w:r>
        <w:rPr>
          <w:rStyle w:val="VerbatimChar"/>
        </w:rPr>
        <w:t xml:space="preserve">llama-3.3-70b</w:t>
      </w:r>
      <w:r>
        <w:t xml:space="preserve">, on a shared 200-review subset of the held-out test split (seed 42), scored in one construct-matched pass. All four land in the same narrow band, detection micro-F1 0.234 to 0.266 and sentiment accuracy on matched aspects 0.629 to 0.669, with the non-GPT families matching or slightly exceeding</w:t>
      </w:r>
      <w:r>
        <w:t xml:space="preserve"> </w:t>
      </w:r>
      <w:r>
        <w:rPr>
          <w:rStyle w:val="VerbatimChar"/>
        </w:rPr>
        <w:t xml:space="preserve">gpt-5.4</w:t>
      </w:r>
      <w:r>
        <w:t xml:space="preserve">; the OpenAI score on this subset (</w:t>
      </w:r>
      <w:r>
        <w:rPr>
          <w:rStyle w:val="VerbatimChar"/>
        </w:rPr>
        <w:t xml:space="preserve">gpt-5.4</w:t>
      </w:r>
      <w:r>
        <w:t xml:space="preserve">, 0.234) is in the same band as the full-test</w:t>
      </w:r>
      <w:r>
        <w:t xml:space="preserve"> </w:t>
      </w:r>
      <w:r>
        <w:rPr>
          <w:rStyle w:val="VerbatimChar"/>
        </w:rPr>
        <w:t xml:space="preserve">gpt-5.2</w:t>
      </w:r>
      <w:r>
        <w:t xml:space="preserve"> </w:t>
      </w:r>
      <w:r>
        <w:t xml:space="preserve">zero-shot result (0.252). The prompted baseline is therefore not specific to a single provider or prompting family, and the placement of zero-shot prompting in a middle band below the strongest trained encoders holds across providers. Appendix A.20 and Table A18 report the per-family scores.</w:t>
      </w:r>
    </w:p>
    <w:bookmarkEnd w:id="32"/>
    <w:bookmarkStart w:id="39" w:name="X0ce3c8ca12618df96c03a79330ef5a35c7801ef"/>
    <w:p>
      <w:pPr>
        <w:pStyle w:val="Heading3"/>
        <w:keepNext/>
        <w:keepLines/>
        <w:widowControl w:val="1"/>
      </w:pPr>
      <w:r>
        <w:t xml:space="preserve">5.4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9 and Figure 4 make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pStyle w:val="TableCaption"/>
        <w:spacing w:before="280" w:after="60" w:line="240" w:lineRule="auto"/>
        <w:jc w:val="center"/>
        <w:keepNext/>
        <w:keepLines/>
        <w:widowControl w:val="1"/>
      </w:pPr>
      <w:r>
        <w:rPr>
          <w:b/>
          <w:i/>
        </w:rPr>
        <w:t>Table 8.</w:t>
      </w:r>
      <w:r>
        <w:rPr>
          <w:b w:val="0"/>
          <w:i/>
        </w:rPr>
        <w:t xml:space="preserve"> </w:t>
      </w:r>
      <w:r>
        <w:rPr>
          <w:b w:val="0"/>
          <w:i/>
        </w:rPr>
        <w:t>Exact synthetic-to-real transfer scores on the mapped Herath benchmark over the conservative nine-aspect overlap. The table gives the precise model values, while Figure 3 adds the overlap-support context needed to interpret them.</w:t>
      </w:r>
    </w:p>
    <w:tbl>
      <w:tblPr>
        <w:tblStyle w:val="Table"/>
        <w:tblW w:type="pct" w:w="5000"/>
        <w:jc w:val="center"/>
        <w:tblLook w:firstRow="1" w:lastRow="0" w:firstColumn="0" w:lastColumn="0" w:noHBand="0" w:noVBand="0" w:val="0020"/>
        <w:tblCaption w:val="Table 8. Exact synthetic-to-real transfer scores on the mapped Herath benchmark over the conservative nine-aspect overlap. The table gives the precise model values, while Figure 3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34" name="Picture"/>
            <a:graphic>
              <a:graphicData uri="http://schemas.openxmlformats.org/drawingml/2006/picture">
                <pic:pic>
                  <pic:nvPicPr>
                    <pic:cNvPr descr="C:/Users/apart/AppData/Local/Temp/html2doc_svg_l3KOoh/svg_2.png" id="35" name="Picture"/>
                    <pic:cNvPicPr>
                      <a:picLocks noChangeArrowheads="1" noChangeAspect="1"/>
                    </pic:cNvPicPr>
                  </pic:nvPicPr>
                  <pic:blipFill>
                    <a:blip r:embed="rId33"/>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37" name="Picture"/>
            <a:graphic>
              <a:graphicData uri="http://schemas.openxmlformats.org/drawingml/2006/picture">
                <pic:pic>
                  <pic:nvPicPr>
                    <pic:cNvPr descr="C:/Users/apart/AppData/Local/Temp/html2doc_svg_l3KOoh/svg_3.png" id="38" name="Picture"/>
                    <pic:cNvPicPr>
                      <a:picLocks noChangeArrowheads="1" noChangeAspect="1"/>
                    </pic:cNvPicPr>
                  </pic:nvPicPr>
                  <pic:blipFill>
                    <a:blip r:embed="rId36"/>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80" w:after="60" w:line="240" w:lineRule="auto"/>
        <w:jc w:val="center"/>
        <w:keepNext/>
        <w:keepLines/>
        <w:widowControl w:val="1"/>
      </w:pPr>
      <w:r>
        <w:rPr>
          <w:b/>
          <w:i/>
        </w:rPr>
        <w:t>Table 9.</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9.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bookmarkEnd w:id="39"/>
    <w:bookmarkStart w:id="40" w:name="corpus-scale-generation-diagnostics"/>
    <w:p>
      <w:pPr>
        <w:pStyle w:val="Heading3"/>
        <w:keepNext/>
        <w:keepLines/>
        <w:widowControl w:val="1"/>
      </w:pPr>
      <w:r>
        <w:t xml:space="preserve">5.5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protocol and results (Appendices A.11 and A.13) are reported separately as generator diagnostics.</w:t>
      </w:r>
    </w:p>
    <w:bookmarkEnd w:id="40"/>
    <w:bookmarkStart w:id="41" w:name="model-assisted-label-faithfulness-audit"/>
    <w:p>
      <w:pPr>
        <w:pStyle w:val="Heading3"/>
        <w:keepNext/>
        <w:keepLines/>
        <w:widowControl w:val="1"/>
      </w:pPr>
      <w:r>
        <w:t xml:space="preserve">5.6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 Table 10 reports the resulting aspect-support and sentiment-match rates.</w:t>
      </w:r>
    </w:p>
    <w:p>
      <w:pPr>
        <w:pStyle w:val="TableCaption"/>
        <w:spacing w:before="280" w:after="60" w:line="240" w:lineRule="auto"/>
        <w:jc w:val="center"/>
        <w:keepNext/>
        <w:keepLines/>
        <w:widowControl w:val="1"/>
      </w:pPr>
      <w:r>
        <w:rPr>
          <w:b/>
          <w:i/>
        </w:rPr>
        <w:t>Table 10.</w:t>
      </w:r>
      <w:r>
        <w:rPr>
          <w:b w:val="0"/>
          <w:i/>
        </w:rPr>
        <w:t xml:space="preserve"> </w:t>
      </w:r>
      <w:r>
        <w:rPr>
          <w:b w:val="0"/>
          <w:i/>
        </w:rPr>
        <w:t>Model-assisted label-faithfulness audit showing how often declared aspects and polarities are visibly supported in generated text. The 0.42 aspect sentiment-match rate is a strict per-aspect lower bound under the strictest auditor, and it is the signal the Section 5.7 filter exploits.</w:t>
      </w:r>
    </w:p>
    <w:tbl>
      <w:tblPr>
        <w:tblStyle w:val="Table"/>
        <w:tblW w:type="pct" w:w="5000"/>
        <w:jc w:val="center"/>
        <w:tblLook w:firstRow="1" w:lastRow="0" w:firstColumn="0" w:lastColumn="0" w:noHBand="0" w:noVBand="0" w:val="0020"/>
        <w:tblCaption w:val="Table 10. Model-assisted label-faithfulness audit showing how often declared aspects and polarities are visibly supported in generated text. The 0.42 aspect sentiment-match rate is a strict per-aspect lower bound under the strictest auditor, and it is the signal the Section 5.7 filter exploi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The 0.42 aspect sentiment-match rate should be read precisely: it is a strict, conservative, per-aspect exact-polarity match required by the strictest auditor (</w:t>
      </w:r>
      <w:r>
        <w:rPr>
          <w:rStyle w:val="VerbatimChar"/>
        </w:rPr>
        <w:t xml:space="preserve">gpt-5.2</w:t>
      </w:r>
      <w:r>
        <w:t xml:space="preserve">, instructed to be strict and conservative) on the raw, unfiltered corpus, so it is a lower bound on faithfulness rather than a claim that "over half the sentiments conflict with the text"; a partly-correct multi-aspect row can score zero on an aspect whose polarity is merely understated. This raw diagnostic is precisely the signal the faithfulness-aware filter in Section 5.7 exploits: the low-scoring rows are demonstrably worse training data, and discarding them by audit score improves downstream sentiment fidelity. This interpretation supports benchmarking and method comparison while also motivating the filtering recipe that follows. Appendix A.8 retains the detailed audit table for direct comparison with later regenerated versions of the corpus.</w:t>
      </w:r>
    </w:p>
    <w:bookmarkEnd w:id="41"/>
    <w:bookmarkStart w:id="45" w:name="Xec374fd6700b55291d88c543fc650e2ccca6775"/>
    <w:p>
      <w:pPr>
        <w:pStyle w:val="Heading3"/>
        <w:keepNext/>
        <w:keepLines/>
        <w:widowControl w:val="1"/>
      </w:pPr>
      <w:r>
        <w:t xml:space="preserve">5.7 Faithfulness-Aware Filtering of the Training Corpus</w:t>
      </w:r>
    </w:p>
    <w:p>
      <w:pPr>
        <w:pStyle w:val="FirstParagraph"/>
        <w:jc w:val="both"/>
        <w:keepNext w:val="0"/>
        <w:keepLines w:val="0"/>
        <w:widowControl w:val="1"/>
      </w:pPr>
      <w:r>
        <w:t xml:space="preserve">The 250-row audit in Section 5.6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 This per-row score averages 0.58, higher than the 0.42 aspect-sentiment-match rate reported in Section 5.6 because it is a per-row mean under the more lenient cost-matched</w:t>
      </w:r>
      <w:r>
        <w:t xml:space="preserve"> </w:t>
      </w:r>
      <w:r>
        <w:rPr>
          <w:rStyle w:val="VerbatimChar"/>
        </w:rPr>
        <w:t xml:space="preserve">gpt-4.1-mini</w:t>
      </w:r>
      <w:r>
        <w:t xml:space="preserve"> </w:t>
      </w:r>
      <w:r>
        <w:t xml:space="preserve">judge rather than a per-aspect rate under the stricter</w:t>
      </w:r>
      <w:r>
        <w:t xml:space="preserve"> </w:t>
      </w:r>
      <w:r>
        <w:rPr>
          <w:rStyle w:val="VerbatimChar"/>
        </w:rPr>
        <w:t xml:space="preserve">gpt-5.2</w:t>
      </w:r>
      <w:r>
        <w:t xml:space="preserve"> </w:t>
      </w:r>
      <w:r>
        <w:t xml:space="preserve">auditor; the two judges agree on 79% of per-aspect sentiment decisions.</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5.2 recipe and evaluated each resulting model on two transfer targets: the same 9-aspect mapped Herath benchmark used in Section 5.4,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TableCaption"/>
        <w:spacing w:before="280" w:after="60" w:line="240" w:lineRule="auto"/>
        <w:jc w:val="center"/>
        <w:keepNext/>
        <w:keepLines/>
        <w:widowControl w:val="1"/>
      </w:pPr>
      <w:r>
        <w:rPr>
          <w:b/>
          <w:i/>
        </w:rPr>
        <w:t>Table 11.</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1.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 The size-matched filtering gain is specific to sentiment-polarity fidelity, the metric most sensitive to label faithfulness; on detection (macro balanced accuracy, Table 11) the audit score's effect is concentrated at the unfaithful end, where the</w:t>
      </w:r>
      <w:r>
        <w:t xml:space="preserve"> </w:t>
      </w:r>
      <w:r>
        <w:rPr>
          <w:rStyle w:val="VerbatimChar"/>
        </w:rPr>
        <w:t xml:space="preserve">bot25</w:t>
      </w:r>
      <w:r>
        <w:t xml:space="preserve"> </w:t>
      </w:r>
      <w:r>
        <w:t xml:space="preserve">bucket alone drops to 0.522.</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pStyle w:val="TableCaption"/>
        <w:spacing w:before="280" w:after="60" w:line="240" w:lineRule="auto"/>
        <w:jc w:val="center"/>
        <w:keepNext/>
        <w:keepLines/>
        <w:widowControl w:val="1"/>
      </w:pPr>
      <w:r>
        <w:rPr>
          <w:b/>
          <w:i/>
        </w:rPr>
        <w:t>Table 12.</w:t>
      </w:r>
      <w:r>
        <w:rPr>
          <w:b w:val="0"/>
          <w:i/>
        </w:rPr>
        <w:t xml:space="preserve"> </w:t>
      </w:r>
      <w:r>
        <w:rPr>
          <w:b w:val="0"/>
          <w:i/>
        </w:rPr>
        <w:t>Cross-architecture and cross-target replication of the Section 5.7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2. Cross-architecture and cross-target replication of the Section 5.7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43" name="Picture"/>
            <a:graphic>
              <a:graphicData uri="http://schemas.openxmlformats.org/drawingml/2006/picture">
                <pic:pic>
                  <pic:nvPicPr>
                    <pic:cNvPr descr="C:/Users/apart/AppData/Local/Temp/html2doc_svg_l3KOoh/svg_4.png" id="44" name="Picture"/>
                    <pic:cNvPicPr>
                      <a:picLocks noChangeArrowheads="1" noChangeAspect="1"/>
                    </pic:cNvPicPr>
                  </pic:nvPicPr>
                  <pic:blipFill>
                    <a:blip r:embed="rId42"/>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Table 12 collects these paired contrasts across both architectures and both transfer targets, and Figure 5 visualizes all conditions. Practically, the result is that the audit score in Section 5.6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 Using an LLM as a label auditor is consistent with evidence that LLM annotators can rival or exceed crowd workers on annotation tasks [35]; because LLM judges also carry documented biases [36], we control for them with the cross-provider agreement here and with the human-label validation below.</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the audit additionally reproduces human faithfulness labels on annotated data, as we show next.</w:t>
      </w:r>
    </w:p>
    <w:p>
      <w:pPr>
        <w:pStyle w:val="BodyText"/>
        <w:jc w:val="both"/>
        <w:keepNext w:val="0"/>
        <w:keepLines w:val="0"/>
        <w:widowControl w:val="1"/>
      </w:pPr>
      <w:r>
        <w:t xml:space="preserve">We close the loop by validating the audit directly against human labels. From the two human-annotated corpora (Herath and EduRABSA) we build 1,200 perturbation-controlled label variants: each sampled review carries a</w:t>
      </w:r>
      <w:r>
        <w:t xml:space="preserve"> </w:t>
      </w:r>
      <w:r>
        <w:rPr>
          <w:i/>
          <w:iCs/>
        </w:rPr>
        <w:t xml:space="preserve">faithful</w:t>
      </w:r>
      <w:r>
        <w:t xml:space="preserve"> </w:t>
      </w:r>
      <w:r>
        <w:t xml:space="preserve">variant with its human gold labels, a polarity-</w:t>
      </w:r>
      <w:r>
        <w:rPr>
          <w:i/>
          <w:iCs/>
        </w:rPr>
        <w:t xml:space="preserve">flipped</w:t>
      </w:r>
      <w:r>
        <w:t xml:space="preserve"> </w:t>
      </w:r>
      <w:r>
        <w:t xml:space="preserve">variant, and an aspect-</w:t>
      </w:r>
      <w:r>
        <w:rPr>
          <w:i/>
          <w:iCs/>
        </w:rPr>
        <w:t xml:space="preserve">injected</w:t>
      </w:r>
      <w:r>
        <w:t xml:space="preserve"> </w:t>
      </w:r>
      <w:r>
        <w:t xml:space="preserve">variant, and the Section 5.6 audit scores all three. The right comparison is per aspect, because the filter audits each declared aspect independently. Across 2,482 aspect-label decisions the audit reproduces the human judgment at Cohen's kappa 0.56 (moderate agreement on the Landis-Koch scale; precision 0.88, accuracy 0.78): it retains 0.69 of genuinely faithful aspects, rejects 0.89 of polarity-flipped aspects, and rejects 0.87 of injected absent aspects, with agreement higher on EduRABSA (kappa 0.62) than on Herath (kappa 0.51). The audit that drives the filter therefore tracks human faithfulness judgments on real annotated data, not only the verdicts of other LLM judges, and its precision means a label it accepts as faithful agrees with the human annotation 88% of the time. Because the generator and the cost-matched auditor share a provider family, one might worry that this agreement reflects a shared latent space rather than genuine textual faithfulness. To rule that out, we repeat the identical human-validation with a fully independent family: Google</w:t>
      </w:r>
      <w:r>
        <w:t xml:space="preserve"> </w:t>
      </w:r>
      <w:r>
        <w:rPr>
          <w:rStyle w:val="VerbatimChar"/>
        </w:rPr>
        <w:t xml:space="preserve">gemini-2.5-flash</w:t>
      </w:r>
      <w:r>
        <w:t xml:space="preserve"> </w:t>
      </w:r>
      <w:r>
        <w:t xml:space="preserve">scores the same 1,200 variants and agrees with the human labels at Cohen's kappa 0.62 (precision 0.89), matching and slightly exceeding the same-family GPT auditor. A model with no shared provenance with the</w:t>
      </w:r>
      <w:r>
        <w:t xml:space="preserve"> </w:t>
      </w:r>
      <w:r>
        <w:rPr>
          <w:rStyle w:val="VerbatimChar"/>
        </w:rPr>
        <w:t xml:space="preserve">gpt-5-nano</w:t>
      </w:r>
      <w:r>
        <w:t xml:space="preserve"> </w:t>
      </w:r>
      <w:r>
        <w:t xml:space="preserve">generator therefore reproduces the human faithfulness judgments at least as well, so the audit signal is human-grounded rather than an artifact of the generator's own family. Agreement is broken out by corpus in Appendix A.21 (Table A19): both auditors agree with humans more on EduRABSA (kappa 0.62 same-family, 0.67 independent) than on Herath (0.51 and 0.58). This tracks item granularity rather than a defect in either corpus, Herath items are single sentences (median 20 words) while EduRABSA items are short passages (median 38 words), so a shorter item gives the auditor less textual evidence per aspect. Because each decision is a binary faithful-versus-unfaithful judgment, the metric is invariant to the two corpora's different aspect label sets. Appendix A.22 decomposes this reliability further: recall on genuine aspects rises with review length, while specificity against fabricated aspects falls as a review packs more aspects, so agreement peaks at moderate length and aspect count.</w:t>
      </w:r>
    </w:p>
    <w:p>
      <w:pPr>
        <w:pStyle w:val="BodyText"/>
        <w:jc w:val="both"/>
        <w:keepNext w:val="0"/>
        <w:keepLines w:val="0"/>
        <w:widowControl w:val="1"/>
      </w:pPr>
      <w:r>
        <w:t xml:space="preserve">A final robustness check asks whether the generate-audit-filter pipeline is specific to the GPT family that produced the corpus. We regenerated the same 150 label-conditioned prompts with four generator families spanning four providers, OpenAI</w:t>
      </w:r>
      <w:r>
        <w:t xml:space="preserve"> </w:t>
      </w:r>
      <w:r>
        <w:rPr>
          <w:rStyle w:val="VerbatimChar"/>
        </w:rPr>
        <w:t xml:space="preserve">gpt-5-nano</w:t>
      </w:r>
      <w:r>
        <w:t xml:space="preserve">, Google</w:t>
      </w:r>
      <w:r>
        <w:t xml:space="preserve"> </w:t>
      </w:r>
      <w:r>
        <w:rPr>
          <w:rStyle w:val="VerbatimChar"/>
        </w:rPr>
        <w:t xml:space="preserve">gemini-2.5-flash</w:t>
      </w:r>
      <w:r>
        <w:t xml:space="preserve">, Zhipu</w:t>
      </w:r>
      <w:r>
        <w:t xml:space="preserve"> </w:t>
      </w:r>
      <w:r>
        <w:rPr>
          <w:rStyle w:val="VerbatimChar"/>
        </w:rPr>
        <w:t xml:space="preserve">glm-4.6</w:t>
      </w:r>
      <w:r>
        <w:t xml:space="preserve">, and Meta</w:t>
      </w:r>
      <w:r>
        <w:t xml:space="preserve"> </w:t>
      </w:r>
      <w:r>
        <w:rPr>
          <w:rStyle w:val="VerbatimChar"/>
        </w:rPr>
        <w:t xml:space="preserve">llama-3.3-70b</w:t>
      </w:r>
      <w:r>
        <w:t xml:space="preserve">, and scored every generation with the identical</w:t>
      </w:r>
      <w:r>
        <w:t xml:space="preserve"> </w:t>
      </w:r>
      <w:r>
        <w:rPr>
          <w:rStyle w:val="VerbatimChar"/>
        </w:rPr>
        <w:t xml:space="preserve">gpt-5.2</w:t>
      </w:r>
      <w:r>
        <w:t xml:space="preserve"> </w:t>
      </w:r>
      <w:r>
        <w:t xml:space="preserve">label-fidelity audit. All four families produce auditable, label-faithful reviews: aspect support ranges from 0.921 to 0.968 and per-aspect sentiment match from 0.759 to 0.904, and the two non-GPT families, one closed (Google) and one open-weight (Zhipu), match or exceed the same-family</w:t>
      </w:r>
      <w:r>
        <w:t xml:space="preserve"> </w:t>
      </w:r>
      <w:r>
        <w:rPr>
          <w:rStyle w:val="VerbatimChar"/>
        </w:rPr>
        <w:t xml:space="preserve">gpt-5-nano</w:t>
      </w:r>
      <w:r>
        <w:t xml:space="preserve"> </w:t>
      </w:r>
      <w:r>
        <w:t xml:space="preserve">generator (sentiment match 0.857 and 0.904 versus 0.759). The audit therefore behaves consistently across providers and the pipeline is not tied to a single generator family. Appendix A.19 and Table A17 report the per-family rates.</w:t>
      </w:r>
    </w:p>
    <w:bookmarkEnd w:id="45"/>
    <w:bookmarkStart w:id="46" w:name="overall-interpretation"/>
    <w:p>
      <w:pPr>
        <w:pStyle w:val="Heading3"/>
        <w:keepNext/>
        <w:keepLines/>
        <w:widowControl w:val="1"/>
      </w:pPr>
      <w:r>
        <w:t xml:space="preserve">5.8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real educational feedback on two independent annotated corpora (Herath and EduRABSA), and a faithfulness-aware filtering recipe that retains the top-50% of the corpus by audit score to reduce sentiment-polarity error on transferred aspects.</w:t>
      </w:r>
    </w:p>
    <w:bookmarkEnd w:id="46"/>
    <w:bookmarkEnd w:id="47"/>
    <w:bookmarkStart w:id="54"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two conservative external transfer checks (Herath and EduRABSA).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two real educational annotation spaces (Herath and EduRABSA).</w:t>
      </w:r>
    </w:p>
    <w:bookmarkStart w:id="48"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These two targets are also sentence-level (Herath median 20 words, EduRABSA 38) while the synthetic corpus is full-length reviews (median 122 words), so transfer here is a cross-granularity test, and the lower Herath scores partly reflect its shorter items rather than aspect content alone; a full-review real benchmark remains a natural addition. Practitioners should therefore not read the transfer results as validating the full schema: only 9 of the 20 aspects are externally checked, synthetic-only training recovers about 60% of a real-trained model, and any high-stakes or personnel decision requires human-in-the-loop review rather than reliance on the eleven aspects that have no real-data validation. Second, the realism-validation analysis is conducted with LLM judges and improves prompt quality without establishing statistical indistinguishability from real reviews under an adversarial frontier-model detector, a bar that current LLM-generated text does not clear regardless of generator family; the realism that is operative for a labeled training benchmark is functional rather than perceptual, and is evidenced by the synthetic-to-real transfer results above, where a model trained on the synthetic corpus recovers real-review aspect and polarity signal on two independent external corpora. The label-faithfulness audit is validated three ways (a behavioral negative control, cross-provider judge agreement, and direct agreement with human labels at Cohen's kappa 0.56 on two annotated corpora, Section 5.7). Because the generator and the cost-matched auditor share a provider family, we further confirm that the audit is not merely detecting same-family latent patterns by reproducing the human-agreement check with a fully independent family (Google Gemini, Cohen's kappa 0.62); human re-annotation across the full 20-aspect schema remains the natural extension. Third, a nontrivial share of rows (841 of 10,000) reached the output-token cap and lowered full-corpus length-band adherence to 0.6819; this is a recoverable token-budget artifact rather than a control failure, since regenerating exactly those rows at a higher cap eliminates the truncation and restores full-corpus adherence to 0.7125, close to but still below the never-truncated rate of 0.7304 (Appendix A.14), and length band is in any case a soft stylistic target rather than a labeled control variable. Fourth, downstream training on the 10K corpus benefits from the Section 5.7 top-50% faithfulness filter (validated across two BERT-family architectures and both transfer targets); the audit score is the validated way to select training rows for sentiment-polarity fidelity on transferred aspects. Fifth, the downstream GPT comparison covers a full-test</w:t>
      </w:r>
      <w:r>
        <w:t xml:space="preserve"> </w:t>
      </w:r>
      <w:r>
        <w:rPr>
          <w:rStyle w:val="VerbatimChar"/>
        </w:rPr>
        <w:t xml:space="preserve">gpt-5.2</w:t>
      </w:r>
      <w:r>
        <w:t xml:space="preserve"> </w:t>
      </w:r>
      <w:r>
        <w:t xml:space="preserve">benchmark and still represents one provider model rather than the full space of proprietary LLM baselines; on the generation side, however, the corpus pipeline is no longer single-provider, since the generate-audit-filter loop reproduces comparable label fidelity across four generator families spanning four providers (Appendix A.19), so the remaining single-provider element is the prompted downstream baseline rather than the corpus construction.</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48"/>
    <w:bookmarkStart w:id="52"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A concrete adoption roadmap follows from a fine-tuning-size sweep. Pretraining the detector on the synthetic corpus and then fine-tuning on a subsampled slice of real, locally adjudicated reviews traces a smooth curve (Figure 6): as few as 100 real reviews lift 9-aspect detection to micro-F1 0.58 (well above the 0.46 of synthetic-only transfer), 500 reach 0.70, 1,000 reach 0.74, and the full real set 0.77, matching a model trained on real data alone (0.767). Two operational guidelines follow. First, minimum data: roughly 250 to 500 locally labeled reviews already capture most of the benefit and are a realistic annotation budget for a single department, while the synthetic pretrain lets an institution reach real-only quality with about half the real data. Second, expected degradation and monitoring: a deployment fine-tuned on N local reviews should expect the micro-F1 in Figure 6 rather than the internal-benchmark or full-real numbers, and should be monitored against a held-out slice of locally adjudicated examples, re-checking whenever the feedback distribution shifts (new platform, course redesign, or cohort change).</w:t>
      </w:r>
    </w:p>
    <w:p>
      <w:pPr>
        <w:pStyle w:val="BodyText"/>
        <w:jc w:val="center"/>
        <w:keepNext/>
        <w:keepLines/>
        <w:widowControl w:val="1"/>
      </w:pPr>
      <w:r>
        <w:drawing>
          <wp:inline>
            <wp:extent cx="5943600" cy="3341763"/>
            <wp:effectExtent b="0" l="0" r="0" t="0"/>
            <wp:docPr descr="Minimum fine-tuning-size curve" title="" id="50" name="Picture"/>
            <a:graphic>
              <a:graphicData uri="http://schemas.openxmlformats.org/drawingml/2006/picture">
                <pic:pic>
                  <pic:nvPicPr>
                    <pic:cNvPr descr="C:/Users/apart/AppData/Local/Temp/html2doc_svg_l3KOoh/svg_5.png" id="51" name="Picture"/>
                    <pic:cNvPicPr>
                      <a:picLocks noChangeArrowheads="1" noChangeAspect="1"/>
                    </pic:cNvPicPr>
                  </pic:nvPicPr>
                  <pic:blipFill>
                    <a:blip r:embed="rId49"/>
                    <a:stretch>
                      <a:fillRect/>
                    </a:stretch>
                  </pic:blipFill>
                  <pic:spPr bwMode="auto">
                    <a:xfrm>
                      <a:off x="0" y="0"/>
                      <a:ext cx="5943600" cy="33417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Minimum fine-tuning size. Real-test 9-aspect micro-F1 as a function of the number of real Herath reviews used to fine-tune a synthetic-pretrained detector (mean of two seeds, error bars are one standard deviation), against the synthetic-only-transfer and real-only-training references. A few hundred real reviews recover most of the gap.</w:t>
      </w:r>
    </w:p>
    <w:p>
      <w:pPr>
        <w:pStyle w:val="BodyText"/>
        <w:jc w:val="both"/>
        <w:keepNext w:val="0"/>
        <w:keepLines w:val="0"/>
        <w:widowControl w:val="1"/>
      </w:pPr>
      <w:r>
        <w:t xml:space="preserve">None of these uses presume that synthetic supervision replaces human annotation. The label-faithfulness audit constrains them directly: with a strict per-aspect lower-bound aspect-sentiment match of 0.42 on a 250-review sample (per-row mean 0.58, Section 5.7),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5.7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52"/>
    <w:bookmarkStart w:id="53"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53"/>
    <w:bookmarkEnd w:id="54"/>
    <w:bookmarkStart w:id="55"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Herath overlap and a 7-aspect EduRABSA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55"/>
    <w:bookmarkStart w:id="102" w:name="appendix"/>
    <w:p>
      <w:pPr>
        <w:pStyle w:val="Heading2"/>
        <w:keepNext/>
        <w:keepLines/>
        <w:widowControl w:val="1"/>
      </w:pPr>
      <w:r>
        <w:t xml:space="preserve">Appendix</w:t>
      </w:r>
    </w:p>
    <w:bookmarkStart w:id="56"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56"/>
    <w:bookmarkStart w:id="57"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57"/>
    <w:bookmarkStart w:id="58"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 Table A3 shows the generation instruction at each cycle.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58"/>
    <w:bookmarkStart w:id="59"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3.</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59"/>
    <w:bookmarkStart w:id="63"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1" name="Picture"/>
            <a:graphic>
              <a:graphicData uri="http://schemas.openxmlformats.org/drawingml/2006/picture">
                <pic:pic>
                  <pic:nvPicPr>
                    <pic:cNvPr descr="C:/Users/apart/AppData/Local/Temp/html2doc_svg_l3KOoh/svg_6.png" id="62" name="Picture"/>
                    <pic:cNvPicPr>
                      <a:picLocks noChangeArrowheads="1" noChangeAspect="1"/>
                    </pic:cNvPicPr>
                  </pic:nvPicPr>
                  <pic:blipFill>
                    <a:blip r:embed="rId60"/>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63"/>
    <w:bookmarkStart w:id="64"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w:t>
      </w:r>
    </w:p>
    <w:tbl>
      <w:tblPr>
        <w:tblStyle w:val="Table"/>
        <w:tblW w:type="pct" w:w="5000"/>
        <w:jc w:val="center"/>
        <w:tblLook w:firstRow="1" w:lastRow="0" w:firstColumn="0" w:lastColumn="0" w:noHBand="0" w:noVBand="0" w:val="0020"/>
        <w:tblCaption w:val="Table A5. Configuration details for the GPT-based inference methods report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64"/>
    <w:bookmarkStart w:id="68"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714145"/>
            <wp:effectExtent b="0" l="0" r="0" t="0"/>
            <wp:docPr descr="Aspect count distribution in the pilot validation subset" title="" id="66" name="Picture"/>
            <a:graphic>
              <a:graphicData uri="http://schemas.openxmlformats.org/drawingml/2006/picture">
                <pic:pic>
                  <pic:nvPicPr>
                    <pic:cNvPr descr="C:/Users/apart/AppData/Local/Temp/html2doc_svg_l3KOoh/svg_7.png" id="67" name="Picture"/>
                    <pic:cNvPicPr>
                      <a:picLocks noChangeArrowheads="1" noChangeAspect="1"/>
                    </pic:cNvPicPr>
                  </pic:nvPicPr>
                  <pic:blipFill>
                    <a:blip r:embed="rId65"/>
                    <a:stretch>
                      <a:fillRect/>
                    </a:stretch>
                  </pic:blipFill>
                  <pic:spPr bwMode="auto">
                    <a:xfrm>
                      <a:off x="0" y="0"/>
                      <a:ext cx="5943600" cy="37141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68"/>
    <w:bookmarkStart w:id="69"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69"/>
    <w:bookmarkStart w:id="76"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5.2.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668102"/>
            <wp:effectExtent b="0" l="0" r="0" t="0"/>
            <wp:docPr descr="Seed stability across the strongest local models" title="" id="71" name="Picture"/>
            <a:graphic>
              <a:graphicData uri="http://schemas.openxmlformats.org/drawingml/2006/picture">
                <pic:pic>
                  <pic:nvPicPr>
                    <pic:cNvPr descr="C:/Users/apart/AppData/Local/Temp/html2doc_svg_l3KOoh/svg_8.png" id="72" name="Picture"/>
                    <pic:cNvPicPr>
                      <a:picLocks noChangeArrowheads="1" noChangeAspect="1"/>
                    </pic:cNvPicPr>
                  </pic:nvPicPr>
                  <pic:blipFill>
                    <a:blip r:embed="rId70"/>
                    <a:stretch>
                      <a:fillRect/>
                    </a:stretch>
                  </pic:blipFill>
                  <pic:spPr bwMode="auto">
                    <a:xfrm>
                      <a:off x="0" y="0"/>
                      <a:ext cx="5943600" cy="36681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74" name="Picture"/>
            <a:graphic>
              <a:graphicData uri="http://schemas.openxmlformats.org/drawingml/2006/picture">
                <pic:pic>
                  <pic:nvPicPr>
                    <pic:cNvPr descr="C:/Users/apart/AppData/Local/Temp/html2doc_svg_l3KOoh/svg_9.png" id="75" name="Picture"/>
                    <pic:cNvPicPr>
                      <a:picLocks noChangeArrowheads="1" noChangeAspect="1"/>
                    </pic:cNvPicPr>
                  </pic:nvPicPr>
                  <pic:blipFill>
                    <a:blip r:embed="rId73"/>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76"/>
    <w:bookmarkStart w:id="77"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77"/>
    <w:bookmarkStart w:id="81"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79" name="Picture"/>
            <a:graphic>
              <a:graphicData uri="http://schemas.openxmlformats.org/drawingml/2006/picture">
                <pic:pic>
                  <pic:nvPicPr>
                    <pic:cNvPr descr="C:/Users/apart/AppData/Local/Temp/html2doc_svg_l3KOoh/svg_10.png" id="80" name="Picture"/>
                    <pic:cNvPicPr>
                      <a:picLocks noChangeArrowheads="1" noChangeAspect="1"/>
                    </pic:cNvPicPr>
                  </pic:nvPicPr>
                  <pic:blipFill>
                    <a:blip r:embed="rId78"/>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1"/>
    <w:bookmarkStart w:id="82"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5.6: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82"/>
    <w:bookmarkStart w:id="83"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 Figure A5 plots the per-cycle accuracy, confusion, and entropy, and Table A12 summarizes the three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83"/>
    <w:bookmarkStart w:id="90"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This shortfall is a token-budget artifact rather than a control failure: on the 9,159 rows that never hit the cap, length-band adherence is 0.7304, and the 841 truncated rows account for the entire gap below that level. Regenerating exactly those 841 rows with the same generator (</w:t>
      </w:r>
      <w:r>
        <w:rPr>
          <w:rStyle w:val="VerbatimChar"/>
        </w:rPr>
        <w:t xml:space="preserve">gpt-5-nano</w:t>
      </w:r>
      <w:r>
        <w:t xml:space="preserve">) and prompt at a raised output cap eliminates the truncation (incomplete rate 8.41% to 0%) and recovers full-corpus adherence to 0.7125, close to but still below the never-truncated rate of 0.7304 (the regenerated rows themselves reach about 0.52, so a small residual gap remains). Length band is a soft stylistic target sampled per review; the controlled variables are the per-review aspect-sentiment labels, which truncation does not affect. The released corpus is left unchanged and this regeneration is reported only as an output-control diagnostic (</w:t>
      </w:r>
      <w:r>
        <w:rPr>
          <w:rStyle w:val="VerbatimChar"/>
        </w:rPr>
        <w:t xml:space="preserve">paper/outputs/n1_adherence_summary.json</w:t>
      </w:r>
      <w:r>
        <w:t xml:space="preserve">).</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A7 makes this visible directly by combining length, aspect-count, course, and style evidence in one place.</w:t>
      </w:r>
    </w:p>
    <w:p>
      <w:pPr>
        <w:pStyle w:val="BodyText"/>
        <w:jc w:val="center"/>
        <w:keepNext/>
        <w:keepLines/>
        <w:widowControl w:val="1"/>
      </w:pPr>
      <w:r>
        <w:drawing>
          <wp:inline>
            <wp:extent cx="5943600" cy="4272623"/>
            <wp:effectExtent b="0" l="0" r="0" t="0"/>
            <wp:docPr descr="Aspect sentiment heatmap" title="" id="85" name="Picture"/>
            <a:graphic>
              <a:graphicData uri="http://schemas.openxmlformats.org/drawingml/2006/picture">
                <pic:pic>
                  <pic:nvPicPr>
                    <pic:cNvPr descr="C:/Users/apart/AppData/Local/Temp/html2doc_svg_l3KOoh/svg_11.png" id="86" name="Picture"/>
                    <pic:cNvPicPr>
                      <a:picLocks noChangeArrowheads="1" noChangeAspect="1"/>
                    </pic:cNvPicPr>
                  </pic:nvPicPr>
                  <pic:blipFill>
                    <a:blip r:embed="rId84"/>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A6.</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88" name="Picture"/>
            <a:graphic>
              <a:graphicData uri="http://schemas.openxmlformats.org/drawingml/2006/picture">
                <pic:pic>
                  <pic:nvPicPr>
                    <pic:cNvPr descr="C:/Users/apart/AppData/Local/Temp/html2doc_svg_l3KOoh/svg_12.png" id="89" name="Picture"/>
                    <pic:cNvPicPr>
                      <a:picLocks noChangeArrowheads="1" noChangeAspect="1"/>
                    </pic:cNvPicPr>
                  </pic:nvPicPr>
                  <pic:blipFill>
                    <a:blip r:embed="rId87"/>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A7.</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End w:id="90"/>
    <w:bookmarkStart w:id="91" w:name="X2b8626aa3872c4a2621ede4ed3f4cc078fcd80e"/>
    <w:p>
      <w:pPr>
        <w:pStyle w:val="Heading3"/>
        <w:keepNext/>
        <w:keepLines/>
        <w:widowControl w:val="1"/>
      </w:pPr>
      <w:r>
        <w:t xml:space="preserve">A.15 Corpus Profile and Representative Examples</w:t>
      </w:r>
    </w:p>
    <w:p>
      <w:pPr>
        <w:pStyle w:val="FirstParagraph"/>
        <w:jc w:val="both"/>
        <w:keepNext w:val="0"/>
        <w:keepLines w:val="0"/>
        <w:widowControl w:val="1"/>
      </w:pPr>
      <w:r>
        <w:t xml:space="preserve">Figure A6 and Figure A7 establish the corpus-level structure before any model results are introduced. Figure A6 shows how label support is distributed across aspects and sentiment polarities, which makes it easier to distinguish heavily represented pedagogical dimensions from thinner parts of the schema. Figure A7 complements that view with review length, aspect-count mixture, course coverage, and style variation. Table A13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A13.</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A13.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91"/>
    <w:bookmarkStart w:id="95" w:name="Xa89f44b29023f9b4d5ed68d8a7e9105de596a5f"/>
    <w:p>
      <w:pPr>
        <w:pStyle w:val="Heading3"/>
        <w:keepNext/>
        <w:keepLines/>
        <w:widowControl w:val="1"/>
      </w:pPr>
      <w:r>
        <w:t xml:space="preserve">A.16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 Figure A8 plots the per-aspect detection and sentiment profile, and Table A14 lists the strongest and weakest aspect categories.</w:t>
      </w:r>
    </w:p>
    <w:p>
      <w:pPr>
        <w:pStyle w:val="BodyText"/>
        <w:jc w:val="center"/>
        <w:keepNext/>
        <w:keepLines/>
        <w:widowControl w:val="1"/>
      </w:pPr>
      <w:r>
        <w:drawing>
          <wp:inline>
            <wp:extent cx="5943600" cy="4255881"/>
            <wp:effectExtent b="0" l="0" r="0" t="0"/>
            <wp:docPr descr="Best-model per-aspect benchmark" title="" id="93" name="Picture"/>
            <a:graphic>
              <a:graphicData uri="http://schemas.openxmlformats.org/drawingml/2006/picture">
                <pic:pic>
                  <pic:nvPicPr>
                    <pic:cNvPr descr="C:/Users/apart/AppData/Local/Temp/html2doc_svg_l3KOoh/svg_13.png" id="94" name="Picture"/>
                    <pic:cNvPicPr>
                      <a:picLocks noChangeArrowheads="1" noChangeAspect="1"/>
                    </pic:cNvPicPr>
                  </pic:nvPicPr>
                  <pic:blipFill>
                    <a:blip r:embed="rId92"/>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A8.</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A14.</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A14.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95"/>
    <w:bookmarkStart w:id="96" w:name="Xcff4fdc3f32e8d83897da2258871956dfc8400e"/>
    <w:p>
      <w:pPr>
        <w:pStyle w:val="Heading3"/>
        <w:keepNext/>
        <w:keepLines/>
        <w:widowControl w:val="1"/>
      </w:pPr>
      <w:r>
        <w:t xml:space="preserve">A.17 Prior Real-Data Educational Sentiment Results in Context</w:t>
      </w:r>
    </w:p>
    <w:p>
      <w:pPr>
        <w:pStyle w:val="TableCaption"/>
        <w:spacing w:before="280" w:after="60" w:line="240" w:lineRule="auto"/>
        <w:jc w:val="center"/>
        <w:keepNext/>
        <w:keepLines/>
        <w:widowControl w:val="1"/>
      </w:pPr>
      <w:r>
        <w:rPr>
          <w:b/>
          <w:i/>
        </w:rPr>
        <w:t>Table A15.</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A15.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A15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96"/>
    <w:bookmarkStart w:id="97" w:name="a.18-output-token-capped-incomplete-rows"/>
    <w:p>
      <w:pPr>
        <w:pStyle w:val="Heading3"/>
        <w:keepNext/>
        <w:keepLines/>
        <w:widowControl w:val="1"/>
      </w:pPr>
      <w:r>
        <w:t xml:space="preserve">A.18 Output-Token-Capped (Incomplete) Rows</w:t>
      </w:r>
    </w:p>
    <w:p>
      <w:pPr>
        <w:pStyle w:val="FirstParagraph"/>
        <w:jc w:val="both"/>
        <w:keepNext w:val="0"/>
        <w:keepLines w:val="0"/>
        <w:widowControl w:val="1"/>
      </w:pPr>
      <w:r>
        <w:t xml:space="preserve">The 841 rows the API marked</w:t>
      </w:r>
      <w:r>
        <w:t xml:space="preserve"> </w:t>
      </w:r>
      <w:r>
        <w:rPr>
          <w:rStyle w:val="VerbatimChar"/>
        </w:rPr>
        <w:t xml:space="preserve">incomplete</w:t>
      </w:r>
      <w:r>
        <w:t xml:space="preserve"> </w:t>
      </w:r>
      <w:r>
        <w:t xml:space="preserve">(Section 3.6) were identified exactly by joining the generation batch output's per-row status to the assembled corpus. Relative to the 9,159 complete rows they are shorter and carry fewer aspects, with a comparable sentiment mix (Table A16). Retraining</w:t>
      </w:r>
      <w:r>
        <w:t xml:space="preserve"> </w:t>
      </w:r>
      <w:r>
        <w:rPr>
          <w:rStyle w:val="VerbatimChar"/>
        </w:rPr>
        <w:t xml:space="preserve">bert-base-uncased</w:t>
      </w:r>
      <w:r>
        <w:t xml:space="preserve"> </w:t>
      </w:r>
      <w:r>
        <w:t xml:space="preserve">detection on the corpus with these rows excluded, at three seeds, changes the held-out benchmark only marginally and not favorably (micro-F1 0.264 versus 0.275, macro balanced accuracy 0.613 versus 0.619), a difference consistent with the roughly 8% smaller training set rather than a systematic label-quality gain. The reported benchmark is therefore robust to their inclusion.</w:t>
      </w:r>
    </w:p>
    <w:p>
      <w:pPr>
        <w:pStyle w:val="TableCaption"/>
        <w:spacing w:before="280" w:after="60" w:line="240" w:lineRule="auto"/>
        <w:jc w:val="center"/>
        <w:keepNext/>
        <w:keepLines/>
        <w:widowControl w:val="1"/>
      </w:pPr>
      <w:r>
        <w:rPr>
          <w:b/>
          <w:i/>
        </w:rPr>
        <w:t>Table A16.</w:t>
      </w:r>
      <w:r>
        <w:rPr>
          <w:b w:val="0"/>
          <w:i/>
        </w:rPr>
        <w:t xml:space="preserve"> </w:t>
      </w:r>
      <w:r>
        <w:rPr>
          <w:b w:val="0"/>
          <w:i/>
        </w:rPr>
        <w:t>Distribution of the 841 output-token-capped (incomplete) rows versus the 9,159 complete rows, with the effect of excluding them from training.</w:t>
      </w:r>
    </w:p>
    <w:tbl>
      <w:tblPr>
        <w:tblStyle w:val="Table"/>
        <w:tblW w:type="pct" w:w="5000"/>
        <w:jc w:val="center"/>
        <w:tblLook w:firstRow="1" w:lastRow="0" w:firstColumn="0" w:lastColumn="0" w:noHBand="0" w:noVBand="0" w:val="0020"/>
        <w:tblCaption w:val="Table A16. Distribution of the 841 output-token-capped (incomplete) rows versus the 9,159 complete rows, with the effect of excluding them from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Incomplete (841)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Complete (9,159)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 / 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118.8 / 122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Aspects per review (1 / 2 / 3 share)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0.43 / 0.51 / 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0.29 / 0.38 / 0.33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Sentiment share (positive / neutral / 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0.36 / 0.30 / 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 / 0.34 / 0.33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Held-out detection micro-F1 (3 seeds, excluded vs full)</w:t>
            </w:r>
          </w:p>
        </w:tc>
        <w:tc>
          <w:tcPr>
            <w:gridSpan w:val="2"/>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complete-only 0.264 ± 0.007 versus full 0.275 ± 0.003</w:t>
            </w:r>
          </w:p>
        </w:tc>
      </w:tr>
    </w:tbl>
    <w:bookmarkEnd w:id="97"/>
    <w:bookmarkStart w:id="98" w:name="a.19-generator-family-robustness"/>
    <w:p>
      <w:pPr>
        <w:pStyle w:val="Heading3"/>
        <w:keepNext/>
        <w:keepLines/>
        <w:widowControl w:val="1"/>
      </w:pPr>
      <w:r>
        <w:t xml:space="preserve">A.19 Generator-Family Robustness</w:t>
      </w:r>
    </w:p>
    <w:p>
      <w:pPr>
        <w:pStyle w:val="FirstParagraph"/>
        <w:jc w:val="both"/>
        <w:keepNext w:val="0"/>
        <w:keepLines w:val="0"/>
        <w:widowControl w:val="1"/>
      </w:pPr>
      <w:r>
        <w:t xml:space="preserve">To check that the generate-audit-filter pipeline is not specific to the GPT family that produced the corpus (Section 5.7), we regenerated the same 150 label-conditioned prompts with four generator families spanning four providers, accessed through a common OpenRouter interface, and scored every generation with the identical</w:t>
      </w:r>
      <w:r>
        <w:t xml:space="preserve"> </w:t>
      </w:r>
      <w:r>
        <w:rPr>
          <w:rStyle w:val="VerbatimChar"/>
        </w:rPr>
        <w:t xml:space="preserve">gpt-5.2</w:t>
      </w:r>
      <w:r>
        <w:t xml:space="preserve"> </w:t>
      </w:r>
      <w:r>
        <w:t xml:space="preserve">label-fidelity audit used in Section 5.6. The comparison is construct-matched: one auditor, one prompt set, one scoring pass. All four families yield high and comparable aspect support (0.921 to 0.968) and per-aspect sentiment match (0.759 to 0.904), with the two non-GPT families matching or exceeding the same-family</w:t>
      </w:r>
      <w:r>
        <w:t xml:space="preserve"> </w:t>
      </w:r>
      <w:r>
        <w:rPr>
          <w:rStyle w:val="VerbatimChar"/>
        </w:rPr>
        <w:t xml:space="preserve">gpt-5-nano</w:t>
      </w:r>
      <w:r>
        <w:t xml:space="preserve"> </w:t>
      </w:r>
      <w:r>
        <w:t xml:space="preserve">generator. Non-GPT generators therefore produce auditable, label-faithful data, and the audit signal is consistent across providers rather than tuned to one family. GLM-4.6 is a reasoning-first model whose default output is empty under a plain chat call; it was queried with explicit-reasoning disabled, which is why its usable aspect count is slightly lower.</w:t>
      </w:r>
    </w:p>
    <w:p>
      <w:pPr>
        <w:pStyle w:val="TableCaption"/>
        <w:spacing w:before="280" w:after="60" w:line="240" w:lineRule="auto"/>
        <w:jc w:val="center"/>
        <w:keepNext/>
        <w:keepLines/>
        <w:widowControl w:val="1"/>
      </w:pPr>
      <w:r>
        <w:rPr>
          <w:b/>
          <w:i/>
        </w:rPr>
        <w:t>Table A17.</w:t>
      </w:r>
      <w:r>
        <w:rPr>
          <w:b w:val="0"/>
          <w:i/>
        </w:rPr>
        <w:t xml:space="preserve"> </w:t>
      </w:r>
      <w:r>
        <w:rPr>
          <w:b w:val="0"/>
          <w:i/>
        </w:rPr>
        <w:t>Label-fidelity audit (gpt-5.2) of the same 150 label-conditioned prompts regenerated by four generator families across four providers. Rates are per declared aspect; the comparison is read across families under one fixed auditor and prompt set.</w:t>
      </w:r>
    </w:p>
    <w:tbl>
      <w:tblPr>
        <w:tblStyle w:val="Table"/>
        <w:tblW w:type="pct" w:w="5000"/>
        <w:jc w:val="center"/>
        <w:tblLook w:firstRow="1" w:lastRow="0" w:firstColumn="0" w:lastColumn="0" w:noHBand="0" w:noVBand="0" w:val="0020"/>
        <w:tblCaption w:val="Table A17. Label-fidelity audit (gpt-5.2) of the same 150 label-conditioned prompts regenerated by four generator families across four providers. Rates are per declared aspect; the comparison is read across families under one fixed auditor and prompt se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Provider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Generator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gpt-5-nano</w:t>
            </w:r>
            <w:r>
              <w:rPr>
                <w:rFonts w:ascii="Georgia" w:hAnsi="Georgia"/>
                <w:sz w:val="19"/>
              </w:rPr>
              <w:t xml:space="preserve"> </w:t>
            </w:r>
            <w:r>
              <w:rPr>
                <w:rFonts w:ascii="Georgia" w:hAnsi="Georgia"/>
                <w:sz w:val="19"/>
              </w:rPr>
              <w:t xml:space="preserve">(corpus generator)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0.7587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Google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Zhipu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glm-4.6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0.9044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Meta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0.9206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0.7873</w:t>
            </w:r>
          </w:p>
        </w:tc>
      </w:tr>
    </w:tbl>
    <w:bookmarkEnd w:id="98"/>
    <w:bookmarkStart w:id="99" w:name="a.20-multi-provider-prompted-baseline"/>
    <w:p>
      <w:pPr>
        <w:pStyle w:val="Heading3"/>
        <w:keepNext/>
        <w:keepLines/>
        <w:widowControl w:val="1"/>
      </w:pPr>
      <w:r>
        <w:t xml:space="preserve">A.20 Multi-Provider Prompted Baseline</w:t>
      </w:r>
    </w:p>
    <w:p>
      <w:pPr>
        <w:pStyle w:val="FirstParagraph"/>
        <w:jc w:val="both"/>
        <w:keepNext w:val="0"/>
        <w:keepLines w:val="0"/>
        <w:widowControl w:val="1"/>
      </w:pPr>
      <w:r>
        <w:t xml:space="preserve">To check that the prompted inference baseline (Section 5.3) is not confined to one provider or one prompting family, we ran the identical zero-shot-glossary ABSA contract across four families spanning four providers on the same 200-review subset of the held-out synthetic test split (seed 42, 20 aspects), scored in one construct-matched pass with the same per-aspect detection and sentiment metrics. All four families fall in the same narrow band and sit below the strongest trained encoders (BERT detection micro-F1 around 0.28), consistent with the paper's reading that zero-shot prompting is an informative but non-dominant baseline regardless of provider. The OpenAI score on this subset (</w:t>
      </w:r>
      <w:r>
        <w:rPr>
          <w:rStyle w:val="VerbatimChar"/>
        </w:rPr>
        <w:t xml:space="preserve">gpt-5.4</w:t>
      </w:r>
      <w:r>
        <w:t xml:space="preserve">, 0.234) is in the same band as the full-test</w:t>
      </w:r>
      <w:r>
        <w:t xml:space="preserve"> </w:t>
      </w:r>
      <w:r>
        <w:rPr>
          <w:rStyle w:val="VerbatimChar"/>
        </w:rPr>
        <w:t xml:space="preserve">gpt-5.2</w:t>
      </w:r>
      <w:r>
        <w:t xml:space="preserve"> </w:t>
      </w:r>
      <w:r>
        <w:t xml:space="preserve">zero-shot result of 0.252 in Table 7; these are two different OpenAI models, compared only for band placement.</w:t>
      </w:r>
    </w:p>
    <w:p>
      <w:pPr>
        <w:pStyle w:val="TableCaption"/>
        <w:spacing w:before="280" w:after="60" w:line="240" w:lineRule="auto"/>
        <w:jc w:val="center"/>
        <w:keepNext/>
        <w:keepLines/>
        <w:widowControl w:val="1"/>
      </w:pPr>
      <w:r>
        <w:rPr>
          <w:b/>
          <w:i/>
        </w:rPr>
        <w:t>Table A18.</w:t>
      </w:r>
      <w:r>
        <w:rPr>
          <w:b w:val="0"/>
          <w:i/>
        </w:rPr>
        <w:t xml:space="preserve"> </w:t>
      </w:r>
      <w:r>
        <w:rPr>
          <w:b w:val="0"/>
          <w:i/>
        </w:rPr>
        <w:t>Multi-provider zero-shot-glossary ABSA baseline on a shared 200-review subset of the held-out synthetic test split (seed 42, 20 aspects), co-computed in one pass. Detection micro-F1 and sentiment accuracy on matched aspects.</w:t>
      </w:r>
    </w:p>
    <w:tbl>
      <w:tblPr>
        <w:tblStyle w:val="Table"/>
        <w:tblW w:type="pct" w:w="5000"/>
        <w:jc w:val="center"/>
        <w:tblLook w:firstRow="1" w:lastRow="0" w:firstColumn="0" w:lastColumn="0" w:noHBand="0" w:noVBand="0" w:val="0020"/>
        <w:tblCaption w:val="Table A18. Multi-provider zero-shot-glossary ABSA baseline on a shared 200-review subset of the held-out synthetic test split (seed 42, 20 aspects), co-computed in one pass. Detection micro-F1 and sentiment accuracy on matched aspec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Provider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Detection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accuracy (matched)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197/200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Google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199/200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Zhipu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glm-4.6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193/200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Meta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0.2655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0.6590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200/200</w:t>
            </w:r>
          </w:p>
        </w:tc>
      </w:tr>
    </w:tbl>
    <w:bookmarkEnd w:id="99"/>
    <w:bookmarkStart w:id="100" w:name="Xe3f8a640c6f6478bde716a41be3b2521644ff46"/>
    <w:p>
      <w:pPr>
        <w:pStyle w:val="Heading3"/>
        <w:keepNext/>
        <w:keepLines/>
        <w:widowControl w:val="1"/>
      </w:pPr>
      <w:r>
        <w:t xml:space="preserve">A.21 Per-Corpus Audit-versus-Human Agreement</w:t>
      </w:r>
    </w:p>
    <w:p>
      <w:pPr>
        <w:pStyle w:val="FirstParagraph"/>
        <w:jc w:val="both"/>
        <w:keepNext w:val="0"/>
        <w:keepLines w:val="0"/>
        <w:widowControl w:val="1"/>
      </w:pPr>
      <w:r>
        <w:t xml:space="preserve">The audit-versus-human agreement of Section 5.7 is reported here per corpus, for both the cost-matched auditor that drives the filter and the fully independent auditor. It is computed over the same 2,482 aspect-level decisions from 1,200 perturbation-controlled variants (faithful / polarity-flipped / aspect-injected). Each decision is a binary faithful-versus-unfaithful judgment (does the auditor accept an aspect that is genuinely faithful, and reject a flipped or injected one), so the metric is invariant to the two corpora's different aspect label sets and is directly comparable across them. Both auditors agree more with humans on EduRABSA than on Herath; this tracks item length (EduRABSA passages median 38 words versus Herath sentences median 20), and the independent auditor equals or exceeds the same-family one on both corpora, reinforcing that the audit signal is human-grounded rather than a same-family artifact.</w:t>
      </w:r>
    </w:p>
    <w:p>
      <w:pPr>
        <w:pStyle w:val="TableCaption"/>
        <w:spacing w:before="280" w:after="60" w:line="240" w:lineRule="auto"/>
        <w:jc w:val="center"/>
        <w:keepNext/>
        <w:keepLines/>
        <w:widowControl w:val="1"/>
      </w:pPr>
      <w:r>
        <w:rPr>
          <w:b/>
          <w:i/>
        </w:rPr>
        <w:t>Table A19.</w:t>
      </w:r>
      <w:r>
        <w:rPr>
          <w:b w:val="0"/>
          <w:i/>
        </w:rPr>
        <w:t xml:space="preserve"> </w:t>
      </w:r>
      <w:r>
        <w:rPr>
          <w:b w:val="0"/>
          <w:i/>
        </w:rPr>
        <w:t>Per-corpus audit-versus-human agreement over 2,482 aspect-level faithfulness decisions. The cost-matched auditor drives the training-data filter; the independent auditor is the anti-circularity cross-check. Each decision is binary faithful-versus-unfaithful, so the metric does not depend on the two corpora's different aspect label sets.</w:t>
      </w:r>
    </w:p>
    <w:tbl>
      <w:tblPr>
        <w:tblStyle w:val="Table"/>
        <w:tblW w:type="pct" w:w="5000"/>
        <w:jc w:val="center"/>
        <w:tblLook w:firstRow="1" w:lastRow="0" w:firstColumn="0" w:lastColumn="0" w:noHBand="0" w:noVBand="0" w:val="0020"/>
        <w:tblCaption w:val="Table A19. Per-corpus audit-versus-human agreement over 2,482 aspect-level faithfulness decisions. The cost-matched auditor drives the training-data filter; the independent auditor is the anti-circularity cross-check. Each decision is binary faithful-versus-unfaithful, so the metric does not depend on the two corpora's different aspect label s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Auditor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Decisions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Cohen's kappa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Precision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gpt-4.1-mini</w:t>
            </w:r>
            <w:r>
              <w:rPr>
                <w:rFonts w:ascii="Georgia" w:hAnsi="Georgia"/>
                <w:sz w:val="19"/>
              </w:rPr>
              <w:t xml:space="preserve"> </w:t>
            </w:r>
            <w:r>
              <w:rPr>
                <w:rFonts w:ascii="Georgia" w:hAnsi="Georgia"/>
                <w:sz w:val="19"/>
              </w:rPr>
              <w:t xml:space="preserve">(cost-matched)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gpt-4.1-mini</w:t>
            </w:r>
            <w:r>
              <w:rPr>
                <w:rFonts w:ascii="Georgia" w:hAnsi="Georgia"/>
                <w:sz w:val="19"/>
              </w:rPr>
              <w:t xml:space="preserve"> </w:t>
            </w:r>
            <w:r>
              <w:rPr>
                <w:rFonts w:ascii="Georgia" w:hAnsi="Georgia"/>
                <w:sz w:val="19"/>
              </w:rPr>
              <w:t xml:space="preserve">(cost-matched)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gpt-4.1-mini</w:t>
            </w:r>
            <w:r>
              <w:rPr>
                <w:rFonts w:ascii="Georgia" w:hAnsi="Georgia"/>
                <w:sz w:val="19"/>
              </w:rPr>
              <w:t xml:space="preserve"> </w:t>
            </w:r>
            <w:r>
              <w:rPr>
                <w:rFonts w:ascii="Georgia" w:hAnsi="Georgia"/>
                <w:sz w:val="19"/>
              </w:rPr>
              <w:t xml:space="preserve">(cost-matched)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2,482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r>
              <w:rPr>
                <w:rFonts w:ascii="Georgia" w:hAnsi="Georgia"/>
                <w:sz w:val="19"/>
              </w:rPr>
              <w:t xml:space="preserve"> </w:t>
            </w:r>
            <w:r>
              <w:rPr>
                <w:rFonts w:ascii="Georgia" w:hAnsi="Georgia"/>
                <w:sz w:val="19"/>
              </w:rPr>
              <w:t xml:space="preserve">(independent)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r>
              <w:rPr>
                <w:rFonts w:ascii="Georgia" w:hAnsi="Georgia"/>
                <w:sz w:val="19"/>
              </w:rPr>
              <w:t xml:space="preserve"> </w:t>
            </w:r>
            <w:r>
              <w:rPr>
                <w:rFonts w:ascii="Georgia" w:hAnsi="Georgia"/>
                <w:sz w:val="19"/>
              </w:rPr>
              <w:t xml:space="preserve">(independent)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r>
              <w:rPr>
                <w:rFonts w:ascii="Georgia" w:hAnsi="Georgia"/>
                <w:sz w:val="19"/>
              </w:rPr>
              <w:t xml:space="preserve"> </w:t>
            </w:r>
            <w:r>
              <w:rPr>
                <w:rFonts w:ascii="Georgia" w:hAnsi="Georgia"/>
                <w:sz w:val="19"/>
              </w:rPr>
              <w:t xml:space="preserve">(independent)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Both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2,482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0.89</w:t>
            </w:r>
          </w:p>
        </w:tc>
      </w:tr>
    </w:tbl>
    <w:bookmarkEnd w:id="100"/>
    <w:bookmarkStart w:id="101" w:name="Xd70789edcfe28c729fd7e320d22fd8a4cf9dbc1"/>
    <w:p>
      <w:pPr>
        <w:pStyle w:val="Heading3"/>
        <w:keepNext/>
        <w:keepLines/>
        <w:widowControl w:val="1"/>
      </w:pPr>
      <w:r>
        <w:t xml:space="preserve">A.22 Audit Reliability by Review Length and Aspect Count</w:t>
      </w:r>
    </w:p>
    <w:p>
      <w:pPr>
        <w:pStyle w:val="FirstParagraph"/>
        <w:jc w:val="both"/>
        <w:keepNext w:val="0"/>
        <w:keepLines w:val="0"/>
        <w:widowControl w:val="1"/>
      </w:pPr>
      <w:r>
        <w:t xml:space="preserve">The audit-versus-human agreement of Table A19 varies systematically with two correlated review properties (Pearson 0.48): review length and the number of declared aspects. Decomposing the 2,482 decisions isolates two opposing forces (Table A20). Recall, the rate at which the audit confirms a genuinely faithful aspect, rises with content: from 0.61 on one-aspect reviews to 0.74 on reviews with four or more aspects, and, holding the aspect count fixed at one, from 0.50 on reviews of at most 20 words to 0.56 on reviews over 40 words. More text lets the audit verify that a real aspect is present. Specificity, the rate at which it rejects an injected absent aspect, instead falls with aspect density: from 0.90 on one-aspect reviews to about 0.74 on reviews with three or more aspects, because a fabricated aspect blends in when a review already discusses many aspects. Agreement is therefore highest for moderate-length, moderate-aspect reviews: the shortest reviews are hard because the audit cannot confirm real aspects, and the most aspect-dense reviews are hard because it cannot reject fabricated ones. This also explains the per-corpus ordering in Table A19, where the shorter Herath sentences sit below the longer EduRABSA passages. Scripts:</w:t>
      </w:r>
      <w:r>
        <w:t xml:space="preserve"> </w:t>
      </w:r>
      <w:r>
        <w:rPr>
          <w:rStyle w:val="VerbatimChar"/>
        </w:rPr>
        <w:t xml:space="preserve">paper/v7_kappa_by_length.py</w:t>
      </w:r>
      <w:r>
        <w:t xml:space="preserve">,</w:t>
      </w:r>
      <w:r>
        <w:t xml:space="preserve"> </w:t>
      </w:r>
      <w:r>
        <w:rPr>
          <w:rStyle w:val="VerbatimChar"/>
        </w:rPr>
        <w:t xml:space="preserve">paper/v7_by_len_and_aspects.py</w:t>
      </w:r>
      <w:r>
        <w:t xml:space="preserve">.</w:t>
      </w:r>
    </w:p>
    <w:p>
      <w:pPr>
        <w:pStyle w:val="TableCaption"/>
        <w:spacing w:before="280" w:after="60" w:line="240" w:lineRule="auto"/>
        <w:jc w:val="center"/>
        <w:keepNext/>
        <w:keepLines/>
        <w:widowControl w:val="1"/>
      </w:pPr>
      <w:r>
        <w:rPr>
          <w:b/>
          <w:i/>
        </w:rPr>
        <w:t>Table A20.</w:t>
      </w:r>
      <w:r>
        <w:rPr>
          <w:b w:val="0"/>
          <w:i/>
        </w:rPr>
        <w:t xml:space="preserve"> </w:t>
      </w:r>
      <w:r>
        <w:rPr>
          <w:b w:val="0"/>
          <w:i/>
        </w:rPr>
        <w:t>Audit-versus-human agreement decomposed by the number of declared aspects per review (cost-matched gpt-4.1-mini auditor; the independent auditor follows the same pattern). Recall is the keep-rate on genuinely faithful aspects; specificity is the reject-rate on injected absent aspects. Recall rises with content while specificity falls with aspect density.</w:t>
      </w:r>
    </w:p>
    <w:tbl>
      <w:tblPr>
        <w:tblStyle w:val="Table"/>
        <w:tblW w:type="pct" w:w="5000"/>
        <w:jc w:val="center"/>
        <w:tblLook w:firstRow="1" w:lastRow="0" w:firstColumn="0" w:lastColumn="0" w:noHBand="0" w:noVBand="0" w:val="0020"/>
        <w:tblCaption w:val="Table A20. Audit-versus-human agreement decomposed by the number of declared aspects per review (cost-matched gpt-4.1-mini auditor; the independent auditor follows the same pattern). Recall is the keep-rate on genuinely faithful aspects; specificity is the reject-rate on injected absent aspects. Recall rises with content while specificity falls with aspec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Aspects per review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Decisions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words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Cohen's kappa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Recall (confirm faithful)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Specificity (reject injected)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0.74</w:t>
            </w:r>
          </w:p>
        </w:tc>
      </w:tr>
    </w:tbl>
    <w:bookmarkEnd w:id="101"/>
    <w:bookmarkEnd w:id="102"/>
    <w:bookmarkStart w:id="143"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103">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104">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105">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106">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107">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108">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9">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10">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11">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12">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13">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14">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15">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16">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17">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18">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9">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20">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21">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22">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23">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24">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25">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26">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27">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28">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9">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30">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31">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32">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33">
        <w:r>
          <w:rPr>
            <w:rStyle w:val="Hyperlink"/>
          </w:rPr>
          <w:t xml:space="preserve">Sentiment Analysis in the Era of Large Language Models: A Reality Check</w:t>
        </w:r>
      </w:hyperlink>
      <w:r>
        <w:t xml:space="preserve">. Findings of NAACL 2024, pages 3892-3910.</w:t>
      </w:r>
    </w:p>
    <w:p>
      <w:pPr>
        <w:pStyle w:val="Compact"/>
        <w:numPr>
          <w:ilvl w:val="0"/>
          <w:numId w:val="1003"/>
        </w:numPr>
        <w:ind w:left="360" w:hanging="259"/>
        <w:jc w:val="both"/>
        <w:keepNext w:val="0"/>
        <w:keepLines w:val="0"/>
        <w:widowControl w:val="1"/>
      </w:pPr>
      <w:r>
        <w:t xml:space="preserve">Hongling Xu, Yice Zhang, Qianlong Wang, and Ruifeng Xu. 2025.</w:t>
      </w:r>
      <w:r>
        <w:t xml:space="preserve"> </w:t>
      </w:r>
      <w:hyperlink r:id="rId134">
        <w:r>
          <w:rPr>
            <w:rStyle w:val="Hyperlink"/>
          </w:rPr>
          <w:t xml:space="preserve">DS2-ABSA: Dual-Stream Data Synthesis with Label Refinement for Few-Shot Aspect-Based Sentiment Analysis</w:t>
        </w:r>
      </w:hyperlink>
      <w:r>
        <w:t xml:space="preserve">. Proceedings of ACL 2025.</w:t>
      </w:r>
    </w:p>
    <w:p>
      <w:pPr>
        <w:pStyle w:val="Compact"/>
        <w:numPr>
          <w:ilvl w:val="0"/>
          <w:numId w:val="1003"/>
        </w:numPr>
        <w:ind w:left="360" w:hanging="259"/>
        <w:jc w:val="both"/>
        <w:keepNext w:val="0"/>
        <w:keepLines w:val="0"/>
        <w:widowControl w:val="1"/>
      </w:pPr>
      <w:r>
        <w:t xml:space="preserve">Nils Constantin Hellwig, Jakob Fehle, and Christian Wolff. 2025.</w:t>
      </w:r>
      <w:r>
        <w:t xml:space="preserve"> </w:t>
      </w:r>
      <w:hyperlink r:id="rId135">
        <w:r>
          <w:rPr>
            <w:rStyle w:val="Hyperlink"/>
          </w:rPr>
          <w:t xml:space="preserve">Exploring large language models for the generation of synthetic training samples for aspect-based sentiment analysis in low resource settings</w:t>
        </w:r>
      </w:hyperlink>
      <w:r>
        <w:t xml:space="preserve">.</w:t>
      </w:r>
      <w:r>
        <w:t xml:space="preserve"> </w:t>
      </w:r>
      <w:r>
        <w:rPr>
          <w:i/>
          <w:iCs/>
        </w:rPr>
        <w:t xml:space="preserve">Expert Systems with Applications</w:t>
      </w:r>
      <w:r>
        <w:t xml:space="preserve">, 261, 125514.</w:t>
      </w:r>
    </w:p>
    <w:p>
      <w:pPr>
        <w:pStyle w:val="Compact"/>
        <w:numPr>
          <w:ilvl w:val="0"/>
          <w:numId w:val="1003"/>
        </w:numPr>
        <w:ind w:left="360" w:hanging="259"/>
        <w:jc w:val="both"/>
        <w:keepNext w:val="0"/>
        <w:keepLines w:val="0"/>
        <w:widowControl w:val="1"/>
      </w:pPr>
      <w:r>
        <w:t xml:space="preserve">Lin Long, Rui Wang, Ruixuan Xiao, Junbo Zhao, Xiao Ding, Gang Chen, and Haobo Wang. 2024.</w:t>
      </w:r>
      <w:r>
        <w:t xml:space="preserve"> </w:t>
      </w:r>
      <w:hyperlink r:id="rId136">
        <w:r>
          <w:rPr>
            <w:rStyle w:val="Hyperlink"/>
          </w:rPr>
          <w:t xml:space="preserve">On LLMs-Driven Synthetic Data Generation, Curation, and Evaluation: A Survey</w:t>
        </w:r>
      </w:hyperlink>
      <w:r>
        <w:t xml:space="preserve">. Findings of ACL 2024.</w:t>
      </w:r>
    </w:p>
    <w:p>
      <w:pPr>
        <w:pStyle w:val="Compact"/>
        <w:numPr>
          <w:ilvl w:val="0"/>
          <w:numId w:val="1003"/>
        </w:numPr>
        <w:ind w:left="360" w:hanging="259"/>
        <w:jc w:val="both"/>
        <w:keepNext w:val="0"/>
        <w:keepLines w:val="0"/>
        <w:widowControl w:val="1"/>
      </w:pPr>
      <w:r>
        <w:t xml:space="preserve">Fabrizio Gilardi, Meysam Alizadeh, and Maël Kubli. 2023.</w:t>
      </w:r>
      <w:r>
        <w:t xml:space="preserve"> </w:t>
      </w:r>
      <w:hyperlink r:id="rId137">
        <w:r>
          <w:rPr>
            <w:rStyle w:val="Hyperlink"/>
          </w:rPr>
          <w:t xml:space="preserve">ChatGPT outperforms crowd workers for text-annotation tasks</w:t>
        </w:r>
      </w:hyperlink>
      <w:r>
        <w:t xml:space="preserve">.</w:t>
      </w:r>
      <w:r>
        <w:t xml:space="preserve"> </w:t>
      </w:r>
      <w:r>
        <w:rPr>
          <w:i/>
          <w:iCs/>
        </w:rPr>
        <w:t xml:space="preserve">Proceedings of the National Academy of Sciences</w:t>
      </w:r>
      <w:r>
        <w:t xml:space="preserve">, 120(30), e2305016120.</w:t>
      </w:r>
    </w:p>
    <w:p>
      <w:pPr>
        <w:pStyle w:val="Compact"/>
        <w:numPr>
          <w:ilvl w:val="0"/>
          <w:numId w:val="1003"/>
        </w:numPr>
        <w:ind w:left="360" w:hanging="259"/>
        <w:jc w:val="both"/>
        <w:keepNext w:val="0"/>
        <w:keepLines w:val="0"/>
        <w:widowControl w:val="1"/>
      </w:pPr>
      <w:r>
        <w:t xml:space="preserve">Jiawei Gu, Xuhui Jiang, Zhichao Shi, Hexiang Tan, Xuehao Zhai, Chengjin Xu, Wei Li, Yinghan Shen, Shengjie Ma, Honghao Liu, Saizhuo Wang, Kun Zhang, Yuanzhuo Wang, and Jian Guo. 2025.</w:t>
      </w:r>
      <w:r>
        <w:t xml:space="preserve"> </w:t>
      </w:r>
      <w:hyperlink r:id="rId138">
        <w:r>
          <w:rPr>
            <w:rStyle w:val="Hyperlink"/>
          </w:rPr>
          <w:t xml:space="preserve">A Survey on LLM-as-a-Judge</w:t>
        </w:r>
      </w:hyperlink>
      <w:r>
        <w:t xml:space="preserve">. arXiv:2411.15594.</w:t>
      </w:r>
    </w:p>
    <w:p>
      <w:pPr>
        <w:pStyle w:val="Compact"/>
        <w:numPr>
          <w:ilvl w:val="0"/>
          <w:numId w:val="1003"/>
        </w:numPr>
        <w:ind w:left="360" w:hanging="259"/>
        <w:jc w:val="both"/>
        <w:keepNext w:val="0"/>
        <w:keepLines w:val="0"/>
        <w:widowControl w:val="1"/>
      </w:pPr>
      <w:r>
        <w:t xml:space="preserve">Liqin Ye, Agam Shah, Chao Zhang, and Sudheer Chava. 2025.</w:t>
      </w:r>
      <w:r>
        <w:t xml:space="preserve"> </w:t>
      </w:r>
      <w:hyperlink r:id="rId139">
        <w:r>
          <w:rPr>
            <w:rStyle w:val="Hyperlink"/>
          </w:rPr>
          <w:t xml:space="preserve">Calibrating Pre-trained Language Classifiers on LLM-generated Noisy Labels via Iterative Refinement</w:t>
        </w:r>
      </w:hyperlink>
      <w:r>
        <w:t xml:space="preserve">. Proceedings of KDD 2025.</w:t>
      </w:r>
    </w:p>
    <w:p>
      <w:pPr>
        <w:pStyle w:val="Compact"/>
        <w:numPr>
          <w:ilvl w:val="0"/>
          <w:numId w:val="1003"/>
        </w:numPr>
        <w:ind w:left="360" w:hanging="259"/>
        <w:jc w:val="both"/>
        <w:keepNext w:val="0"/>
        <w:keepLines w:val="0"/>
        <w:widowControl w:val="1"/>
      </w:pPr>
      <w:r>
        <w:t xml:space="preserve">Wed Akeel Awadh, Rosnafisah Bte Sulaiman, and Moamin A. Mahmoud. 2025.</w:t>
      </w:r>
      <w:r>
        <w:t xml:space="preserve"> </w:t>
      </w:r>
      <w:hyperlink r:id="rId140">
        <w:r>
          <w:rPr>
            <w:rStyle w:val="Hyperlink"/>
          </w:rPr>
          <w:t xml:space="preserve">Aspect-based sentiment analysis in MOOCs: a systematic literature review introducing the MASC-MEF framework</w:t>
        </w:r>
      </w:hyperlink>
      <w:r>
        <w:t xml:space="preserve">.</w:t>
      </w:r>
      <w:r>
        <w:t xml:space="preserve"> </w:t>
      </w:r>
      <w:r>
        <w:rPr>
          <w:i/>
          <w:iCs/>
        </w:rPr>
        <w:t xml:space="preserve">Journal of King Saud University Computer and Information Sciences</w:t>
      </w:r>
      <w:r>
        <w:t xml:space="preserve">.</w:t>
      </w:r>
    </w:p>
    <w:p>
      <w:pPr>
        <w:pStyle w:val="Compact"/>
        <w:numPr>
          <w:ilvl w:val="0"/>
          <w:numId w:val="1003"/>
        </w:numPr>
        <w:ind w:left="360" w:hanging="259"/>
        <w:jc w:val="both"/>
        <w:keepNext w:val="0"/>
        <w:keepLines w:val="0"/>
        <w:widowControl w:val="1"/>
      </w:pPr>
      <w:r>
        <w:t xml:space="preserve">Junjie Chen, Xuyang Liu, Subin Huang, Linfeng Zhang, and Hang Yu. 2025.</w:t>
      </w:r>
      <w:r>
        <w:t xml:space="preserve"> </w:t>
      </w:r>
      <w:hyperlink r:id="rId141">
        <w:r>
          <w:rPr>
            <w:rStyle w:val="Hyperlink"/>
          </w:rPr>
          <w:t xml:space="preserve">Seeing Sarcasm Through Different Eyes: Analyzing Multimodal Sarcasm Perception in Large Vision-Language Models</w:t>
        </w:r>
      </w:hyperlink>
      <w:r>
        <w:t xml:space="preserve">.</w:t>
      </w:r>
      <w:r>
        <w:t xml:space="preserve"> </w:t>
      </w:r>
      <w:r>
        <w:rPr>
          <w:i/>
          <w:iCs/>
        </w:rPr>
        <w:t xml:space="preserve">IEEE Transactions on Computational Social Systems</w:t>
      </w:r>
      <w:r>
        <w:t xml:space="preserve">.</w:t>
      </w:r>
    </w:p>
    <w:p>
      <w:pPr>
        <w:pStyle w:val="Compact"/>
        <w:numPr>
          <w:ilvl w:val="0"/>
          <w:numId w:val="1003"/>
        </w:numPr>
        <w:ind w:left="360" w:hanging="259"/>
        <w:jc w:val="both"/>
        <w:keepNext w:val="0"/>
        <w:keepLines w:val="0"/>
        <w:widowControl w:val="1"/>
      </w:pPr>
      <w:r>
        <w:t xml:space="preserve">Qiubo Ma, Hang Yu, Yuan Shan, and Pinzhuo Tian. 2025.</w:t>
      </w:r>
      <w:r>
        <w:t xml:space="preserve"> </w:t>
      </w:r>
      <w:hyperlink r:id="rId142">
        <w:r>
          <w:rPr>
            <w:rStyle w:val="Hyperlink"/>
          </w:rPr>
          <w:t xml:space="preserve">Exploiting the Relationship within the Unlabelled Samples by Set Matching for Generalized Category Discovery</w:t>
        </w:r>
      </w:hyperlink>
      <w:r>
        <w:t xml:space="preserve">. ICASSP 2025, IEEE International Conference on Acoustics, Speech and Signal Processing.</w:t>
      </w:r>
    </w:p>
    <w:bookmarkEnd w:id="14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8" Type="http://schemas.openxmlformats.org/officeDocument/2006/relationships/image" Target="media/rId28.png"/><Relationship Id="rId78" Type="http://schemas.openxmlformats.org/officeDocument/2006/relationships/image" Target="media/rId78.png"/><Relationship Id="rId84" Type="http://schemas.openxmlformats.org/officeDocument/2006/relationships/image" Target="media/rId84.png"/><Relationship Id="rId87" Type="http://schemas.openxmlformats.org/officeDocument/2006/relationships/image" Target="media/rId87.png"/><Relationship Id="rId92" Type="http://schemas.openxmlformats.org/officeDocument/2006/relationships/image" Target="media/rId92.png"/><Relationship Id="rId33" Type="http://schemas.openxmlformats.org/officeDocument/2006/relationships/image" Target="media/rId33.png"/><Relationship Id="rId36" Type="http://schemas.openxmlformats.org/officeDocument/2006/relationships/image" Target="media/rId36.png"/><Relationship Id="rId42" Type="http://schemas.openxmlformats.org/officeDocument/2006/relationships/image" Target="media/rId42.png"/><Relationship Id="rId49" Type="http://schemas.openxmlformats.org/officeDocument/2006/relationships/image" Target="media/rId49.png"/><Relationship Id="rId60" Type="http://schemas.openxmlformats.org/officeDocument/2006/relationships/image" Target="media/rId60.png"/><Relationship Id="rId65" Type="http://schemas.openxmlformats.org/officeDocument/2006/relationships/image" Target="media/rId65.png"/><Relationship Id="rId70" Type="http://schemas.openxmlformats.org/officeDocument/2006/relationships/image" Target="media/rId70.png"/><Relationship Id="rId73" Type="http://schemas.openxmlformats.org/officeDocument/2006/relationships/image" Target="media/rId73.png"/><Relationship Id="rId116" Type="http://schemas.openxmlformats.org/officeDocument/2006/relationships/hyperlink" Target="https://aclanthology.org/2021.eacl-main.20/" TargetMode="External"/><Relationship Id="rId113" Type="http://schemas.openxmlformats.org/officeDocument/2006/relationships/hyperlink" Target="https://aclanthology.org/2022.lrec-1.219/" TargetMode="External"/><Relationship Id="rId122" Type="http://schemas.openxmlformats.org/officeDocument/2006/relationships/hyperlink" Target="https://aclanthology.org/2024.lrec-main.879/" TargetMode="External"/><Relationship Id="rId109" Type="http://schemas.openxmlformats.org/officeDocument/2006/relationships/hyperlink" Target="https://aclanthology.org/C16-1233/" TargetMode="External"/><Relationship Id="rId110" Type="http://schemas.openxmlformats.org/officeDocument/2006/relationships/hyperlink" Target="https://aclanthology.org/L18-1425/" TargetMode="External"/><Relationship Id="rId129" Type="http://schemas.openxmlformats.org/officeDocument/2006/relationships/hyperlink" Target="https://arxiv.org/abs/2202.04538" TargetMode="External"/><Relationship Id="rId138" Type="http://schemas.openxmlformats.org/officeDocument/2006/relationships/hyperlink" Target="https://arxiv.org/abs/2411.15594" TargetMode="External"/><Relationship Id="rId139" Type="http://schemas.openxmlformats.org/officeDocument/2006/relationships/hyperlink" Target="https://arxiv.org/abs/2505.19675" TargetMode="External"/><Relationship Id="rId114" Type="http://schemas.openxmlformats.org/officeDocument/2006/relationships/hyperlink" Target="https://arxiv.org/abs/2508.17008" TargetMode="External"/><Relationship Id="rId140" Type="http://schemas.openxmlformats.org/officeDocument/2006/relationships/hyperlink" Target="https://doi.org/10.1007/s44443-025-00018-1" TargetMode="External"/><Relationship Id="rId127" Type="http://schemas.openxmlformats.org/officeDocument/2006/relationships/hyperlink" Target="https://doi.org/10.1016/j.compedu.2020.103965" TargetMode="External"/><Relationship Id="rId135" Type="http://schemas.openxmlformats.org/officeDocument/2006/relationships/hyperlink" Target="https://doi.org/10.1016/j.eswa.2024.125514" TargetMode="External"/><Relationship Id="rId120" Type="http://schemas.openxmlformats.org/officeDocument/2006/relationships/hyperlink" Target="https://doi.org/10.1016/j.nlp.2022.100003" TargetMode="External"/><Relationship Id="rId119" Type="http://schemas.openxmlformats.org/officeDocument/2006/relationships/hyperlink" Target="https://doi.org/10.1016/j.stueduc.2021.100979" TargetMode="External"/><Relationship Id="rId121" Type="http://schemas.openxmlformats.org/officeDocument/2006/relationships/hyperlink" Target="https://doi.org/10.1016/j.stueduc.2024.101406" TargetMode="External"/><Relationship Id="rId137" Type="http://schemas.openxmlformats.org/officeDocument/2006/relationships/hyperlink" Target="https://doi.org/10.1073/pnas.2305016120" TargetMode="External"/><Relationship Id="rId124" Type="http://schemas.openxmlformats.org/officeDocument/2006/relationships/hyperlink" Target="https://doi.org/10.1080/02602938.2018.1463354" TargetMode="External"/><Relationship Id="rId125" Type="http://schemas.openxmlformats.org/officeDocument/2006/relationships/hyperlink" Target="https://doi.org/10.1080/07294360.2019.1657807" TargetMode="External"/><Relationship Id="rId111" Type="http://schemas.openxmlformats.org/officeDocument/2006/relationships/hyperlink" Target="https://doi.org/10.1108/EL-06-2019-0140" TargetMode="External"/><Relationship Id="rId112" Type="http://schemas.openxmlformats.org/officeDocument/2006/relationships/hyperlink" Target="https://doi.org/10.1109/ACCESS.2022.3177752" TargetMode="External"/><Relationship Id="rId142" Type="http://schemas.openxmlformats.org/officeDocument/2006/relationships/hyperlink" Target="https://doi.org/10.1109/ICASSP49660.2025.10889522" TargetMode="External"/><Relationship Id="rId141" Type="http://schemas.openxmlformats.org/officeDocument/2006/relationships/hyperlink" Target="https://doi.org/10.1109/TCSS.2025.3608484" TargetMode="External"/><Relationship Id="rId126" Type="http://schemas.openxmlformats.org/officeDocument/2006/relationships/hyperlink" Target="https://doi.org/10.1186/s41039-018-0073-0" TargetMode="External"/><Relationship Id="rId117" Type="http://schemas.openxmlformats.org/officeDocument/2006/relationships/hyperlink" Target="https://doi.org/10.18653/v1/2021.acl-long.188" TargetMode="External"/><Relationship Id="rId118" Type="http://schemas.openxmlformats.org/officeDocument/2006/relationships/hyperlink" Target="https://doi.org/10.18653/v1/2021.emnlp-main.361" TargetMode="External"/><Relationship Id="rId115" Type="http://schemas.openxmlformats.org/officeDocument/2006/relationships/hyperlink" Target="https://doi.org/10.18653/v1/2021.emnlp-main.362" TargetMode="External"/><Relationship Id="rId128" Type="http://schemas.openxmlformats.org/officeDocument/2006/relationships/hyperlink" Target="https://doi.org/10.18653/v1/2021.findings-acl.84" TargetMode="External"/><Relationship Id="rId130" Type="http://schemas.openxmlformats.org/officeDocument/2006/relationships/hyperlink" Target="https://doi.org/10.18653/v1/2023.acl-long.754" TargetMode="External"/><Relationship Id="rId108" Type="http://schemas.openxmlformats.org/officeDocument/2006/relationships/hyperlink" Target="https://doi.org/10.18653/v1/2023.emnlp-main.647" TargetMode="External"/><Relationship Id="rId107" Type="http://schemas.openxmlformats.org/officeDocument/2006/relationships/hyperlink" Target="https://doi.org/10.18653/v1/2023.findings-acl.612" TargetMode="External"/><Relationship Id="rId131" Type="http://schemas.openxmlformats.org/officeDocument/2006/relationships/hyperlink" Target="https://doi.org/10.18653/v1/2023.wassa-1.3" TargetMode="External"/><Relationship Id="rId132" Type="http://schemas.openxmlformats.org/officeDocument/2006/relationships/hyperlink" Target="https://doi.org/10.18653/v1/2024.eacl-long.167" TargetMode="External"/><Relationship Id="rId136" Type="http://schemas.openxmlformats.org/officeDocument/2006/relationships/hyperlink" Target="https://doi.org/10.18653/v1/2024.findings-acl.658" TargetMode="External"/><Relationship Id="rId133" Type="http://schemas.openxmlformats.org/officeDocument/2006/relationships/hyperlink" Target="https://doi.org/10.18653/v1/2024.findings-naacl.246" TargetMode="External"/><Relationship Id="rId134" Type="http://schemas.openxmlformats.org/officeDocument/2006/relationships/hyperlink" Target="https://doi.org/10.18653/v1/2025.acl-long.752" TargetMode="External"/><Relationship Id="rId106" Type="http://schemas.openxmlformats.org/officeDocument/2006/relationships/hyperlink" Target="https://doi.org/10.18653/v1/N19-1423" TargetMode="External"/><Relationship Id="rId105" Type="http://schemas.openxmlformats.org/officeDocument/2006/relationships/hyperlink" Target="https://doi.org/10.18653/v1/S16-1002" TargetMode="External"/><Relationship Id="rId123" Type="http://schemas.openxmlformats.org/officeDocument/2006/relationships/hyperlink" Target="https://doi.org/10.3102/003465430298487" TargetMode="External"/><Relationship Id="rId104" Type="http://schemas.openxmlformats.org/officeDocument/2006/relationships/hyperlink" Target="https://doi.org/10.3115/v1/S14-2004" TargetMode="External"/><Relationship Id="rId103"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6" Type="http://schemas.openxmlformats.org/officeDocument/2006/relationships/hyperlink" Target="https://aclanthology.org/2021.eacl-main.20/" TargetMode="External"/><Relationship Id="rId113" Type="http://schemas.openxmlformats.org/officeDocument/2006/relationships/hyperlink" Target="https://aclanthology.org/2022.lrec-1.219/" TargetMode="External"/><Relationship Id="rId122" Type="http://schemas.openxmlformats.org/officeDocument/2006/relationships/hyperlink" Target="https://aclanthology.org/2024.lrec-main.879/" TargetMode="External"/><Relationship Id="rId109" Type="http://schemas.openxmlformats.org/officeDocument/2006/relationships/hyperlink" Target="https://aclanthology.org/C16-1233/" TargetMode="External"/><Relationship Id="rId110" Type="http://schemas.openxmlformats.org/officeDocument/2006/relationships/hyperlink" Target="https://aclanthology.org/L18-1425/" TargetMode="External"/><Relationship Id="rId129" Type="http://schemas.openxmlformats.org/officeDocument/2006/relationships/hyperlink" Target="https://arxiv.org/abs/2202.04538" TargetMode="External"/><Relationship Id="rId138" Type="http://schemas.openxmlformats.org/officeDocument/2006/relationships/hyperlink" Target="https://arxiv.org/abs/2411.15594" TargetMode="External"/><Relationship Id="rId139" Type="http://schemas.openxmlformats.org/officeDocument/2006/relationships/hyperlink" Target="https://arxiv.org/abs/2505.19675" TargetMode="External"/><Relationship Id="rId114" Type="http://schemas.openxmlformats.org/officeDocument/2006/relationships/hyperlink" Target="https://arxiv.org/abs/2508.17008" TargetMode="External"/><Relationship Id="rId140" Type="http://schemas.openxmlformats.org/officeDocument/2006/relationships/hyperlink" Target="https://doi.org/10.1007/s44443-025-00018-1" TargetMode="External"/><Relationship Id="rId127" Type="http://schemas.openxmlformats.org/officeDocument/2006/relationships/hyperlink" Target="https://doi.org/10.1016/j.compedu.2020.103965" TargetMode="External"/><Relationship Id="rId135" Type="http://schemas.openxmlformats.org/officeDocument/2006/relationships/hyperlink" Target="https://doi.org/10.1016/j.eswa.2024.125514" TargetMode="External"/><Relationship Id="rId120" Type="http://schemas.openxmlformats.org/officeDocument/2006/relationships/hyperlink" Target="https://doi.org/10.1016/j.nlp.2022.100003" TargetMode="External"/><Relationship Id="rId119" Type="http://schemas.openxmlformats.org/officeDocument/2006/relationships/hyperlink" Target="https://doi.org/10.1016/j.stueduc.2021.100979" TargetMode="External"/><Relationship Id="rId121" Type="http://schemas.openxmlformats.org/officeDocument/2006/relationships/hyperlink" Target="https://doi.org/10.1016/j.stueduc.2024.101406" TargetMode="External"/><Relationship Id="rId137" Type="http://schemas.openxmlformats.org/officeDocument/2006/relationships/hyperlink" Target="https://doi.org/10.1073/pnas.2305016120" TargetMode="External"/><Relationship Id="rId124" Type="http://schemas.openxmlformats.org/officeDocument/2006/relationships/hyperlink" Target="https://doi.org/10.1080/02602938.2018.1463354" TargetMode="External"/><Relationship Id="rId125" Type="http://schemas.openxmlformats.org/officeDocument/2006/relationships/hyperlink" Target="https://doi.org/10.1080/07294360.2019.1657807" TargetMode="External"/><Relationship Id="rId111" Type="http://schemas.openxmlformats.org/officeDocument/2006/relationships/hyperlink" Target="https://doi.org/10.1108/EL-06-2019-0140" TargetMode="External"/><Relationship Id="rId112" Type="http://schemas.openxmlformats.org/officeDocument/2006/relationships/hyperlink" Target="https://doi.org/10.1109/ACCESS.2022.3177752" TargetMode="External"/><Relationship Id="rId142" Type="http://schemas.openxmlformats.org/officeDocument/2006/relationships/hyperlink" Target="https://doi.org/10.1109/ICASSP49660.2025.10889522" TargetMode="External"/><Relationship Id="rId141" Type="http://schemas.openxmlformats.org/officeDocument/2006/relationships/hyperlink" Target="https://doi.org/10.1109/TCSS.2025.3608484" TargetMode="External"/><Relationship Id="rId126" Type="http://schemas.openxmlformats.org/officeDocument/2006/relationships/hyperlink" Target="https://doi.org/10.1186/s41039-018-0073-0" TargetMode="External"/><Relationship Id="rId117" Type="http://schemas.openxmlformats.org/officeDocument/2006/relationships/hyperlink" Target="https://doi.org/10.18653/v1/2021.acl-long.188" TargetMode="External"/><Relationship Id="rId118" Type="http://schemas.openxmlformats.org/officeDocument/2006/relationships/hyperlink" Target="https://doi.org/10.18653/v1/2021.emnlp-main.361" TargetMode="External"/><Relationship Id="rId115" Type="http://schemas.openxmlformats.org/officeDocument/2006/relationships/hyperlink" Target="https://doi.org/10.18653/v1/2021.emnlp-main.362" TargetMode="External"/><Relationship Id="rId128" Type="http://schemas.openxmlformats.org/officeDocument/2006/relationships/hyperlink" Target="https://doi.org/10.18653/v1/2021.findings-acl.84" TargetMode="External"/><Relationship Id="rId130" Type="http://schemas.openxmlformats.org/officeDocument/2006/relationships/hyperlink" Target="https://doi.org/10.18653/v1/2023.acl-long.754" TargetMode="External"/><Relationship Id="rId108" Type="http://schemas.openxmlformats.org/officeDocument/2006/relationships/hyperlink" Target="https://doi.org/10.18653/v1/2023.emnlp-main.647" TargetMode="External"/><Relationship Id="rId107" Type="http://schemas.openxmlformats.org/officeDocument/2006/relationships/hyperlink" Target="https://doi.org/10.18653/v1/2023.findings-acl.612" TargetMode="External"/><Relationship Id="rId131" Type="http://schemas.openxmlformats.org/officeDocument/2006/relationships/hyperlink" Target="https://doi.org/10.18653/v1/2023.wassa-1.3" TargetMode="External"/><Relationship Id="rId132" Type="http://schemas.openxmlformats.org/officeDocument/2006/relationships/hyperlink" Target="https://doi.org/10.18653/v1/2024.eacl-long.167" TargetMode="External"/><Relationship Id="rId136" Type="http://schemas.openxmlformats.org/officeDocument/2006/relationships/hyperlink" Target="https://doi.org/10.18653/v1/2024.findings-acl.658" TargetMode="External"/><Relationship Id="rId133" Type="http://schemas.openxmlformats.org/officeDocument/2006/relationships/hyperlink" Target="https://doi.org/10.18653/v1/2024.findings-naacl.246" TargetMode="External"/><Relationship Id="rId134" Type="http://schemas.openxmlformats.org/officeDocument/2006/relationships/hyperlink" Target="https://doi.org/10.18653/v1/2025.acl-long.752" TargetMode="External"/><Relationship Id="rId106" Type="http://schemas.openxmlformats.org/officeDocument/2006/relationships/hyperlink" Target="https://doi.org/10.18653/v1/N19-1423" TargetMode="External"/><Relationship Id="rId105" Type="http://schemas.openxmlformats.org/officeDocument/2006/relationships/hyperlink" Target="https://doi.org/10.18653/v1/S16-1002" TargetMode="External"/><Relationship Id="rId123" Type="http://schemas.openxmlformats.org/officeDocument/2006/relationships/hyperlink" Target="https://doi.org/10.3102/003465430298487" TargetMode="External"/><Relationship Id="rId104" Type="http://schemas.openxmlformats.org/officeDocument/2006/relationships/hyperlink" Target="https://doi.org/10.3115/v1/S14-2004" TargetMode="External"/><Relationship Id="rId103"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2026-07-03T10:38:40Z</dcterms:created>
  <dcterms:modified xsi:type="dcterms:W3CDTF">2026-07-03T10:38:40Z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