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4"/>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Large language models are increasingly used to synthesize labeled training data where annotation is scarce, but the generated labels are often unfaithful to the text, and it is difficult to tell whether a synthetic benchmark carries genuine learnable signal or merely reproduces label frequencies. We study both problems in educational aspect-based sentiment analysis (ABSA), a setting where real aspect-labeled feedback is private and costly to annotate, with a methodology that applies beyond it. We release a controlled corpus of 10,000 synthetic course reviews over a 20-aspect pedagogical schema, generated by sampling supervision targets separately from nuance attributes, so the same labels recur across varied course contexts and styles. We then introduce a faithfulness-aware pipeline: a cost-matched LLM audit scores how well each declared label is supported by the text, and that score both filters the training data and is itself validated across independent LLM judges and against human labels (Cohen's kappa 0.56 on two annotated corpora, and 0.62 with a fully independent model family); both the generation pipeline and the prompted baseline reproduce across four generator families spanning four providers, so the recipe is not tied to a single provider. Three controls establish that the corpus carries learnable signal rather than label priors: permuting the labels collapses detection to the trivial floor (0.182 versus 0.276 micro-F1), accuracy scales monotonically with training size (0.183 to 0.285), and restricting to faithfully labeled rows raises the ceiling. Evaluated by transfer to real human-annotated feedback (the unbiased metric), faithfulness-aware row filtering lowers transferred sentiment error on Herath across two architectures (paired 95% bootstrap CI excludes zero), and a lowest-faithfulness control collapses transfer on both real benchmarks (Herath and EduRABSA). Synthetic-only training recovers about 60% of a real-trained model, and synthetic pre-training followed by real fine-tuning exceeds real-only training. The audit-filter-validate recipe is a general tool for quality-controlling LLM-supervised data; the corpus and code are released.</w:t>
      </w: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contribution is therefore both a resource and a methodology.</w:t>
      </w:r>
      <w:r>
        <w:t xml:space="preserve"> </w:t>
      </w:r>
      <w:r>
        <w:rPr>
          <w:b/>
          <w:bCs/>
        </w:rPr>
        <w:t xml:space="preserve">The resource is a controlled synthetic educational ABSA corpus whose labels are audited and faithfulness-scored; the methodology is an audit-filter-validate pipeline for LLM-generated supervision: a cost-matched audit measures per-label faithfulness, that score selects training data, and a battery of controls tests whether the resulting benchmark carries genuine signal rather than label frequencies.</w:t>
      </w:r>
      <w:r>
        <w:t xml:space="preserve"> </w:t>
      </w:r>
      <w:r>
        <w:t xml:space="preserve">Although we instantiate and evaluate the pipeline on educational ABSA, where labeled data are unusually scarce, it applies to any task trained on LLM-synthesized labels.</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and Section 5 presents the main benchmark, external-validation, and generator-faithfulness results before Section 6 discusses limitations and implications. Generator realism-validation and corpus-scale output-control diagnostics are reported in the appendix.</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Controlled synthetic ABSA resource:</w:t>
      </w:r>
      <w:r>
        <w:t xml:space="preserve"> </w:t>
      </w:r>
      <w:r>
        <w:t xml:space="preserve">a released 10,000-review corpus with fixed train/validation/test partitions over a 20-aspect pedagogical schema, generated by separating supervision targets from nuance attributes so the same aspect labels recur under varied course contexts and writing styles rather than collapsing into one prompt pattern.</w:t>
      </w:r>
    </w:p>
    <w:p>
      <w:pPr>
        <w:pStyle w:val="Compact"/>
        <w:numPr>
          <w:ilvl w:val="0"/>
          <w:numId w:val="1001"/>
        </w:numPr>
        <w:ind w:left="360" w:hanging="259"/>
        <w:jc w:val="both"/>
        <w:keepNext w:val="0"/>
        <w:keepLines w:val="0"/>
        <w:widowControl w:val="1"/>
      </w:pPr>
      <w:r>
        <w:rPr>
          <w:b/>
          <w:bCs/>
        </w:rPr>
        <w:t xml:space="preserve">Faithfulness-aware data-quality methodology:</w:t>
      </w:r>
      <w:r>
        <w:t xml:space="preserve"> </w:t>
      </w:r>
      <w:r>
        <w:t xml:space="preserve">a cost-matched LLM audit that scores per-label faithfulness and acts as an actionable training-data filter, with a lowest-faithfulness negative control that collapses transfer across two architectures and two real targets, a size-matched filtering gain on the Herath target, direct validation against human labels (Cohen's kappa 0.56 on two annotated corpora), and reproduction of the pipeline across four generator families spanning four providers so the recipe is not tied to a single generator, establishing a general recipe for quality-controlling LLM-supervised data, not only this corpus.</w:t>
      </w:r>
    </w:p>
    <w:p>
      <w:pPr>
        <w:pStyle w:val="Compact"/>
        <w:numPr>
          <w:ilvl w:val="0"/>
          <w:numId w:val="1001"/>
        </w:numPr>
        <w:ind w:left="360" w:hanging="259"/>
        <w:jc w:val="both"/>
        <w:keepNext w:val="0"/>
        <w:keepLines w:val="0"/>
        <w:widowControl w:val="1"/>
      </w:pPr>
      <w:r>
        <w:rPr>
          <w:b/>
          <w:bCs/>
        </w:rPr>
        <w:t xml:space="preserve">Signal-validity battery:</w:t>
      </w:r>
      <w:r>
        <w:t xml:space="preserve"> </w:t>
      </w:r>
      <w:r>
        <w:t xml:space="preserve">label-permutation, trivial-floor, learning-curve, and clean-label-ceiling controls that distinguish genuine learnable signal from label frequencies, providing a reusable check that a synthetic benchmark is more than memorized priors.</w:t>
      </w:r>
    </w:p>
    <w:p>
      <w:pPr>
        <w:pStyle w:val="Compact"/>
        <w:numPr>
          <w:ilvl w:val="0"/>
          <w:numId w:val="1001"/>
        </w:numPr>
        <w:ind w:left="360" w:hanging="259"/>
        <w:jc w:val="both"/>
        <w:keepNext w:val="0"/>
        <w:keepLines w:val="0"/>
        <w:widowControl w:val="1"/>
      </w:pPr>
      <w:r>
        <w:rPr>
          <w:b/>
          <w:bCs/>
        </w:rPr>
        <w:t xml:space="preserve">Real-data transfer evidence:</w:t>
      </w:r>
      <w:r>
        <w:t xml:space="preserve"> </w:t>
      </w:r>
      <w:r>
        <w:t xml:space="preserve">on two human-annotated corpora (Herath, EduRABSA), synthetic-only training recovers about 60% of a real-trained model with no real labels, and synthetic pre-training followed by real fine-tuning exceeds real-only training.</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A recent line of work formalizes this as a generation, curation, and evaluation pipeline [34] and turns directly to controlling the quality of LLM-supervised data: synthetic ABSA generators add label-refinement modules for few-shot transfer [32], LLM-generated samples help ABSA in low-resource regimes [33], and downstream classifiers can be calibrated against LLM-generated label noise after training [37]. The present work sits on the data side of that pipeline: rather than refining labels inside the generator [32] or correcting the classifier downstream [37], it audits each declared label for textual support, filters the corpus before training, and validates that audit against human labels. This caution is especially relevant here because educational ABSA is a subjective and domain-specific task whose label space often reflects local pedagogical practice rather than a universal ontology. More broadly, prompting and representation learning with large models are advancing rapidly on adjacent problems, from probing how vision-language models perceive nuanced signals such as multimodal sarcasm [39] to exploiting relational structure among unlabelled samples for generalized category discovery [40]; our contribution is orthogonal to these modeling advances, targeting instead the data-quality control of LLM-supervised labels.</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A recent systematic review of aspect-based sentiment analysis in MOOC settings similarly catalogs the aspect schemas and methods used across educational platforms [38]. Together, this literature supports the relevance of the problem, clarifies why real labeled educational data are difficult to obtain at scale, and explains why a synthetic educational ABSA resource may be useful even when realism validation remains a separate concern. Table 1 positions the present study against these prior educational-feedback resources.</w:t>
      </w:r>
    </w:p>
    <w:p>
      <w:pPr>
        <w:pStyle w:val="TableCaption"/>
        <w:spacing w:before="28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generator realism diagnostic, and conservative transfer checks on two real corpora (9- and 7-aspect overlaps)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pStyle w:val="BodyText"/>
        <w:spacing w:before="240"/>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1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pStyle w:val="BodyText"/>
        <w:jc w:val="center"/>
        <w:keepNext/>
        <w:keepLines/>
        <w:widowControl w:val="1"/>
      </w:pPr>
      <w:r>
        <w:drawing>
          <wp:inline>
            <wp:extent cx="5943600" cy="2823210"/>
            <wp:effectExtent b="0" l="0" r="0" t="0"/>
            <wp:docPr descr="Synthetic data generation pipeline" title="" id="15" name="Picture"/>
            <a:graphic>
              <a:graphicData uri="http://schemas.openxmlformats.org/drawingml/2006/picture">
                <pic:pic>
                  <pic:nvPicPr>
                    <pic:cNvPr descr="C:/Users/apart/AppData/Local/Temp/html2doc_svg_tQig1a/svg_0.png" id="16" name="Picture"/>
                    <pic:cNvPicPr>
                      <a:picLocks noChangeArrowheads="1" noChangeAspect="1"/>
                    </pic:cNvPicPr>
                  </pic:nvPicPr>
                  <pic:blipFill>
                    <a:blip r:embed="rId14"/>
                    <a:stretch>
                      <a:fillRect/>
                    </a:stretch>
                  </pic:blipFill>
                  <pic:spPr bwMode="auto">
                    <a:xfrm>
                      <a:off x="0" y="0"/>
                      <a:ext cx="5943600" cy="28232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synthetic course-review generation pipeline.</w:t>
      </w: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follows the intended 30/40/30 policy over one-, two-, and three-aspect reviews, with counts of 3,032, 3,917, and 3,051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These capped rows are modestly different from complete rows, shorter (mean 100 vs 119 words) and carrying fewer aspects (a 0.07 versus 0.33 share of three-aspect reviews), with a similar sentiment mix (Appendix A.18). Retraining the benchmark with these 841 rows excluded leaves held-out detection essentially unchanged (micro-F1 0.264 versus 0.275, macro balanced accuracy 0.613 versus 0.619 across three seeds), so the corpus is robust to their inclusion. Regenerating exactly these rows at a raised output cap also removes the truncation and restores full-corpus length-band adherence to the never-truncated level (Appendix A.14). The generation length budget is also a deliberate and realistic constraint rather than only a limitation: real course-feedback platforms cap how much a student can write, and the retained reviews match the length profile of real full-length course reviews. On the public OMSCS reviews, the retained synthetic reviews have a median of 122 words against 104 for the real reviews, and 92% fall within the real 10th-to-90th-percentile band of 43 to 311 words (they diverge only from Herath, whose entries are sentence-level snippets rather than whole reviews).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roles, and it is important not to conflate them when judging the scope of the evidence. The first role is a small blinded reference pool of 32 public OMSCS reviews drawn from four course pages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w:t>
      </w:r>
      <w:r>
        <w:t xml:space="preserve"> </w:t>
      </w:r>
      <w:r>
        <w:rPr>
          <w:rStyle w:val="VerbatimChar"/>
        </w:rPr>
        <w:t xml:space="preserve">CS-7641</w:t>
      </w:r>
      <w:r>
        <w:t xml:space="preserve">); these are never used for training, validation, or test evaluation, only as blinded items in the real-versus-synthetic judge loop so prompt changes can be checked against naturally occurring educational-review language, and this pool is freely enlargeable from public sources (for example, thousands of RateMyProfessor teaching-feedback comments are available). The 32-review figure therefore bounds a diagnostic loop, not the benchmark's real-data scope. The second role, which is the actual external evaluation, uses two independent annotated real corpora under two different annotation schemes: the student-feedback corpus of Herath et al. [11] (2,829 reviews, conservatively mapped to a 9-aspect overlap) and EduRABSA (mapped to a 7-aspect overlap). Models trained only on synthetic data are evaluated out of domain on both, so the transfer evidence rests on thousands of real reviews across two schemes rather than on the blinded realism pool. This distinction matters for interpretation: synthetic data define the main ABSA benchmark, while real data are reserved for generator analysis and for two independent external evaluations.</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pStyle w:val="TableCaption"/>
        <w:spacing w:before="28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pStyle w:val="BodyText"/>
        <w:spacing w:before="240"/>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(Appendix A.11)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pStyle w:val="TableCaption"/>
        <w:spacing w:before="28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pStyle w:val="BodyText"/>
        <w:spacing w:before="240"/>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pStyle w:val="TableCaption"/>
        <w:spacing w:before="28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A7.</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A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bookmarkEnd w:id="25"/>
    <w:bookmarkEnd w:id="26"/>
    <w:bookmarkStart w:id="47" w:name="results"/>
    <w:p>
      <w:pPr>
        <w:pStyle w:val="Heading2"/>
        <w:keepNext/>
        <w:keepLines/>
        <w:widowControl w:val="1"/>
      </w:pPr>
      <w:r>
        <w:t xml:space="preserve">5. Results</w:t>
      </w:r>
    </w:p>
    <w:p>
      <w:pPr>
        <w:pStyle w:val="FirstParagraph"/>
        <w:jc w:val="both"/>
        <w:keepNext w:val="0"/>
        <w:keepLines w:val="0"/>
        <w:widowControl w:val="1"/>
      </w:pPr>
      <w:r>
        <w:t xml:space="preserve">The results are presented in the same order as the paper's claim structure. After mapping the reported analyses to their data and splits, we report the main local benchmark, then the full-test GPT and real-data comparisons, and only afterward return to generator-quality diagnostics, focusing on label faithfulness and a faithfulness-aware filtering recipe. This ordering is intentional: the central claim concerns the value of the synthetic corpus as an educational ABSA benchmark resource, whereas faithfulness analysis explains the strengths and limits of the generation process. The corpus profile and representative examples, corpus-scale output-control statistics, and the three-cycle realism-validation procedure are reported in full in the appendix as generator diagnostics.</w:t>
      </w:r>
    </w:p>
    <w:bookmarkStart w:id="27" w:name="scope-of-reported-analyses"/>
    <w:p>
      <w:pPr>
        <w:pStyle w:val="Heading3"/>
        <w:keepNext/>
        <w:keepLines/>
        <w:widowControl w:val="1"/>
      </w:pPr>
      <w:r>
        <w:t xml:space="preserve">5.1 Scope of Reported Analyses</w:t>
      </w:r>
    </w:p>
    <w:p>
      <w:pPr>
        <w:pStyle w:val="TableCaption"/>
        <w:spacing w:before="280" w:after="60" w:line="240" w:lineRule="auto"/>
        <w:jc w:val="center"/>
        <w:keepNext/>
        <w:keepLines/>
        <w:widowControl w:val="1"/>
      </w:pPr>
      <w:r>
        <w:rPr>
          <w:b/>
          <w:i/>
        </w:rPr>
        <w:t>Table 5.</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5.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reviews; 8k / 1k / 1k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per-aspect and robustness summaries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learnability and model-comparison evidence (20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Prompted inference baselines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Same 1,000-review held-out test split;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Zero-shot detection and sentiment metrics across four provider families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baselines under the same label contract as the trained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transfer (two corpora)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(2,829, 9-aspect overlap) and EduRABSA (7-aspect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Real-data check on two independent annotated feedback spaces.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judge cycles; public OMSCS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diagnostic of how realism cues were reduced.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250-review corpus sample plus 25-review pilot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Aspect-support and sentiment-match rates versus declared labels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to read the corpus as a useful but imperfect resource.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Generator and output-control robustness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150 prompts across four generator families; the 841 output-capped rows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Per-family audit fidelity; length-band adherence recovery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Shows the pipeline is provider-agnostic and truncation is recoverable.</w:t>
            </w:r>
          </w:p>
        </w:tc>
      </w:tr>
    </w:tbl>
    <w:p>
      <w:pPr>
        <w:pStyle w:val="BodyText"/>
        <w:spacing w:before="240"/>
        <w:jc w:val="both"/>
        <w:keepNext w:val="0"/>
        <w:keepLines w:val="0"/>
        <w:widowControl w:val="1"/>
      </w:pPr>
      <w:r>
        <w:t xml:space="preserve">Table 5 therefore complements rather than repeats Table 3. Table 3 says which method families are executed, while Table 5 says what each analysis block is meant to establish, which split it uses, and how it should be interpreted alongside the main benchmark.</w:t>
      </w:r>
    </w:p>
    <w:bookmarkEnd w:id="27"/>
    <w:bookmarkStart w:id="31" w:name="Xb756ca2b27320c8b9bc4788dcc281a891af5b5f"/>
    <w:p>
      <w:pPr>
        <w:pStyle w:val="Heading3"/>
        <w:keepNext/>
        <w:keepLines/>
        <w:widowControl w:val="1"/>
      </w:pPr>
      <w:r>
        <w:t xml:space="preserve">5.2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detection, at macro balanced accuracy 0.623 and macro AUROC 0.681 (micro-F1 0.276, detected-aspect sentiment MSE 0.4959), followed by</w:t>
      </w:r>
      <w:r>
        <w:t xml:space="preserve"> </w:t>
      </w:r>
      <w:r>
        <w:rPr>
          <w:rStyle w:val="VerbatimChar"/>
        </w:rPr>
        <w:t xml:space="preserve">distilbert-base-uncased</w:t>
      </w:r>
      <w:r>
        <w:t xml:space="preserve"> </w:t>
      </w:r>
      <w:r>
        <w:t xml:space="preserve">at balanced accuracy 0.621 (micro-F1 0.2691). The joint variants remain competitive but lower (</w:t>
      </w:r>
      <w:r>
        <w:rPr>
          <w:rStyle w:val="VerbatimChar"/>
        </w:rPr>
        <w:t xml:space="preserve">distilbert_joint</w:t>
      </w:r>
      <w:r>
        <w:t xml:space="preserve"> </w:t>
      </w:r>
      <w:r>
        <w:t xml:space="preserve">micro-F1 0.2524,</w:t>
      </w:r>
      <w:r>
        <w:t xml:space="preserve"> </w:t>
      </w:r>
      <w:r>
        <w:rPr>
          <w:rStyle w:val="VerbatimChar"/>
        </w:rPr>
        <w:t xml:space="preserve">bert_joint</w:t>
      </w:r>
      <w:r>
        <w:t xml:space="preserve"> </w:t>
      </w:r>
      <w:r>
        <w:t xml:space="preserve">0.2447), which supports the two-step decomposition as the clearest baseline family in this benchmark. We lead with balanced accuracy and threshold-free AUROC rather than micro-F1 because micro-F1 is a deliberately strict operating-point metric here: with one to three aspects per review among twenty mostly-absent labels, the trivial all-present baseline already scores 0.183 micro-F1, so the absolute level is compressed by the task structure and the measured label noise rather than by weak representations. Micro-F1 is retained throughout the tables as the standard comparable metric, but it is read alongside balanced accuracy and ranking quality, not alone.</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collapse to recall 1.000 at micro-F1 0.183, and the resulting false positives inflate downstream sentiment MSE to 0.577 and 0.684 respectively. In this sense, Table 6 shows that the benchmark rewards models that recover many aspect mentions without collapsing into broad positive prediction.</w:t>
      </w:r>
    </w:p>
    <w:p>
      <w:pPr>
        <w:pStyle w:val="BodyText"/>
        <w:jc w:val="both"/>
        <w:keepNext w:val="0"/>
        <w:keepLines w:val="0"/>
        <w:widowControl w:val="1"/>
      </w:pPr>
      <w:r>
        <w:t xml:space="preserve">Part of the moderate ceiling is a property of the labels rather than of the models. The held-out test split carries the same label faithfulness as the training corpus: under the full-corpus</w:t>
      </w:r>
      <w:r>
        <w:t xml:space="preserve"> </w:t>
      </w:r>
      <w:r>
        <w:rPr>
          <w:rStyle w:val="VerbatimChar"/>
        </w:rPr>
        <w:t xml:space="preserve">gpt-4.1-mini</w:t>
      </w:r>
      <w:r>
        <w:t xml:space="preserve"> </w:t>
      </w:r>
      <w:r>
        <w:t xml:space="preserve">audit (Section 5.7), the 1,000-review held-out split has a mean per-row aspect-sentiment match rate of 0.58, statistically identical to the 0.58 of the full 10K. A held-out score is bounded by the faithfulness of the held-out labels, so a portion of the unrecovered detection F1 reflects test rows whose declared polarity is not visibly supported in the text rather than model limitation alone. This is directly measurable: re-scoring the trained</w:t>
      </w:r>
      <w:r>
        <w:t xml:space="preserve"> </w:t>
      </w:r>
      <w:r>
        <w:rPr>
          <w:rStyle w:val="VerbatimChar"/>
        </w:rPr>
        <w:t xml:space="preserve">bert-base-uncased</w:t>
      </w:r>
      <w:r>
        <w:t xml:space="preserve"> </w:t>
      </w:r>
      <w:r>
        <w:t xml:space="preserve">detector on the faithful subset of the test split (the rows whose declared aspects are all supported) lifts micro-F1 from 0.277 (95% CI [0.270, 0.285]) on the full 1,000-review test set to 0.307 ([0.277, 0.337]) on the faithful subset, a paired gain of +0.030 (95% bootstrap CI [0.006, 0.054], higher in all four seeds). The model recovers labels more accurately exactly where the labels are faithful, which is the same signal the faithfulness-aware filtering in Section 5.7 exploits on the training side. The benchmark is therefore positioned as a controllable resource with an explicit, measurable label-noise level rather than as a saturated leaderboard.</w:t>
      </w:r>
    </w:p>
    <w:p>
      <w:pPr>
        <w:pStyle w:val="BodyText"/>
        <w:jc w:val="both"/>
        <w:keepNext w:val="0"/>
        <w:keepLines w:val="0"/>
        <w:widowControl w:val="1"/>
      </w:pPr>
      <w:r>
        <w:t xml:space="preserve">Three controls establish that this signal is genuine rather than an artifact of label frequencies. First, a label-permutation control, retraining with the text-to-label correspondence destroyed, collapses detection micro-F1 to 0.182 (95% CI [0.177, 0.187]), indistinguishable from the strongest trivial baseline (predict-all-present, 0.183) and 0.094 below the real-label 0.277; the recovered F1 thus comes from text that genuinely predicts the labels. Second, detection scales monotonically with training data, from 0.183 at 250 reviews to 0.285 at 8,000, increasing in every seed with no plateau. Third, the learned model clears every trivial floor (predict-all-present 0.183, predict-by-frequency 0.000, random-at-prevalence 0.101) by at least 0.093. Consistent with the label-noise account, restricting both training and test to faithful rows raises micro-F1 to 0.319 ([0.290, 0.348], +0.043 over the full corpus) at audit row-score 1.0 and 0.340 ([0.332, 0.348], +0.064) at row-score 0.5 or above.</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 threshold-free view confirms the same reading: on the 20-aspect held-out test set the BERT detector reaches a macro AUROC of 0.681 and a micro AUROC of 0.688, with per-aspect AUROC ranging from 0.54 to 0.83 (highest for lexically marked aspects such as</w:t>
      </w:r>
      <w:r>
        <w:t xml:space="preserve"> </w:t>
      </w:r>
      <w:r>
        <w:rPr>
          <w:rStyle w:val="VerbatimChar"/>
        </w:rPr>
        <w:t xml:space="preserve">pacing</w:t>
      </w:r>
      <w:r>
        <w:t xml:space="preserve"> </w:t>
      </w:r>
      <w:r>
        <w:t xml:space="preserve">at 0.83 and</w:t>
      </w:r>
      <w:r>
        <w:t xml:space="preserve"> </w:t>
      </w:r>
      <w:r>
        <w:rPr>
          <w:rStyle w:val="VerbatimChar"/>
        </w:rPr>
        <w:t xml:space="preserve">workload</w:t>
      </w:r>
      <w:r>
        <w:t xml:space="preserve"> </w:t>
      </w:r>
      <w:r>
        <w:t xml:space="preserve">at 0.81). Because AUROC is independent of the decision threshold and therefore of the noisy gold operating point, this shows the detector ranks aspect presence well above chance and that the moderate micro-F1 reflects thresholding and label noise rather than weak representations. Appendix A.10 reports these complementary diagnostics for the principal synthetic-benchmark, GPT-based, and mapped real-data comparisons.</w:t>
      </w:r>
    </w:p>
    <w:p>
      <w:pPr>
        <w:pStyle w:val="BodyText"/>
        <w:jc w:val="both"/>
        <w:keepNext w:val="0"/>
        <w:keepLines w:val="0"/>
        <w:widowControl w:val="1"/>
      </w:pPr>
      <w:r>
        <w:t xml:space="preserve">Table 6 provides the exact values for the executed local benchmark. Figure 2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pStyle w:val="TableCaption"/>
        <w:spacing w:before="280" w:after="60" w:line="240" w:lineRule="auto"/>
        <w:jc w:val="center"/>
        <w:keepNext/>
        <w:keepLines/>
        <w:widowControl w:val="1"/>
      </w:pPr>
      <w:r>
        <w:rPr>
          <w:b/>
          <w:i/>
        </w:rPr>
        <w:t>Table 6.</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6.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5943600" cy="2241927"/>
            <wp:effectExtent b="0" l="0" r="0" t="0"/>
            <wp:docPr descr="Benchmark comparison" title="" id="29" name="Picture"/>
            <a:graphic>
              <a:graphicData uri="http://schemas.openxmlformats.org/drawingml/2006/picture">
                <pic:pic>
                  <pic:nvPicPr>
                    <pic:cNvPr descr="C:/Users/apart/AppData/Local/Temp/html2doc_svg_tQig1a/svg_1.png" id="30" name="Picture"/>
                    <pic:cNvPicPr>
                      <a:picLocks noChangeArrowheads="1" noChangeAspect="1"/>
                    </pic:cNvPicPr>
                  </pic:nvPicPr>
                  <pic:blipFill>
                    <a:blip r:embed="rId28"/>
                    <a:stretch>
                      <a:fillRect/>
                    </a:stretch>
                  </pic:blipFill>
                  <pic:spPr bwMode="auto">
                    <a:xfrm>
                      <a:off x="0" y="0"/>
                      <a:ext cx="5943600" cy="22419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bookmarkEnd w:id="31"/>
    <w:bookmarkStart w:id="32" w:name="gpt-based-inference-methods"/>
    <w:p>
      <w:pPr>
        <w:pStyle w:val="Heading3"/>
        <w:keepNext/>
        <w:keepLines/>
        <w:widowControl w:val="1"/>
      </w:pPr>
      <w:r>
        <w:t xml:space="preserve">5.3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pStyle w:val="TableCaption"/>
        <w:spacing w:before="280" w:after="60" w:line="240" w:lineRule="auto"/>
        <w:jc w:val="center"/>
        <w:keepNext/>
        <w:keepLines/>
        <w:widowControl w:val="1"/>
      </w:pPr>
      <w:r>
        <w:rPr>
          <w:b/>
          <w:i/>
        </w:rPr>
        <w:t>Table 7.</w:t>
      </w:r>
      <w:r>
        <w:rPr>
          <w:b w:val="0"/>
          <w:i/>
        </w:rPr>
        <w:t xml:space="preserve"> </w:t>
      </w:r>
      <w:r>
        <w:rPr>
          <w:b w:val="0"/>
          <w:i/>
        </w:rPr>
        <w:t>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7.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pStyle w:val="BodyText"/>
        <w:spacing w:before="240"/>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Because</w:t>
      </w:r>
      <w:r>
        <w:t xml:space="preserve"> </w:t>
      </w:r>
      <w:r>
        <w:rPr>
          <w:rStyle w:val="VerbatimChar"/>
        </w:rPr>
        <w:t xml:space="preserve">gpt-5.2</w:t>
      </w:r>
      <w:r>
        <w:t xml:space="preserve"> </w:t>
      </w:r>
      <w:r>
        <w:t xml:space="preserve">also serves as the strict faithfulness auditor (Section 5.6) and shares a provider family with the</w:t>
      </w:r>
      <w:r>
        <w:t xml:space="preserve"> </w:t>
      </w:r>
      <w:r>
        <w:rPr>
          <w:rStyle w:val="VerbatimChar"/>
        </w:rPr>
        <w:t xml:space="preserve">gpt-5-nano</w:t>
      </w:r>
      <w:r>
        <w:t xml:space="preserve"> </w:t>
      </w:r>
      <w:r>
        <w:t xml:space="preserve">generator, these are reported as same-family reference baselines rather than independent external systems.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p>
      <w:pPr>
        <w:pStyle w:val="BodyText"/>
        <w:jc w:val="both"/>
        <w:keepNext w:val="0"/>
        <w:keepLines w:val="0"/>
        <w:widowControl w:val="1"/>
      </w:pPr>
      <w:r>
        <w:t xml:space="preserve">Because</w:t>
      </w:r>
      <w:r>
        <w:t xml:space="preserve"> </w:t>
      </w:r>
      <w:r>
        <w:rPr>
          <w:rStyle w:val="VerbatimChar"/>
        </w:rPr>
        <w:t xml:space="preserve">gpt-5.2</w:t>
      </w:r>
      <w:r>
        <w:t xml:space="preserve"> </w:t>
      </w:r>
      <w:r>
        <w:t xml:space="preserve">is a same-family baseline, we additionally ran the identical zero-shot-glossary contract across four generator families spanning four providers, OpenAI</w:t>
      </w:r>
      <w:r>
        <w:t xml:space="preserve"> </w:t>
      </w:r>
      <w:r>
        <w:rPr>
          <w:rStyle w:val="VerbatimChar"/>
        </w:rPr>
        <w:t xml:space="preserve">gpt-5.4</w:t>
      </w:r>
      <w:r>
        <w:t xml:space="preserve">, Google</w:t>
      </w:r>
      <w:r>
        <w:t xml:space="preserve"> </w:t>
      </w:r>
      <w:r>
        <w:rPr>
          <w:rStyle w:val="VerbatimChar"/>
        </w:rPr>
        <w:t xml:space="preserve">gemini-2.5-flash</w:t>
      </w:r>
      <w:r>
        <w:t xml:space="preserve">, Zhipu</w:t>
      </w:r>
      <w:r>
        <w:t xml:space="preserve"> </w:t>
      </w:r>
      <w:r>
        <w:rPr>
          <w:rStyle w:val="VerbatimChar"/>
        </w:rPr>
        <w:t xml:space="preserve">glm-4.6</w:t>
      </w:r>
      <w:r>
        <w:t xml:space="preserve">, and Meta</w:t>
      </w:r>
      <w:r>
        <w:t xml:space="preserve"> </w:t>
      </w:r>
      <w:r>
        <w:rPr>
          <w:rStyle w:val="VerbatimChar"/>
        </w:rPr>
        <w:t xml:space="preserve">llama-3.3-70b</w:t>
      </w:r>
      <w:r>
        <w:t xml:space="preserve">, on a shared 200-review subset of the held-out test split (seed 42), scored in one construct-matched pass. All four land in the same narrow band, detection micro-F1 0.234 to 0.266 and sentiment accuracy on matched aspects 0.629 to 0.669, with the non-GPT families matching or slightly exceeding</w:t>
      </w:r>
      <w:r>
        <w:t xml:space="preserve"> </w:t>
      </w:r>
      <w:r>
        <w:rPr>
          <w:rStyle w:val="VerbatimChar"/>
        </w:rPr>
        <w:t xml:space="preserve">gpt-5.4</w:t>
      </w:r>
      <w:r>
        <w:t xml:space="preserve">; the OpenAI score on this subset (</w:t>
      </w:r>
      <w:r>
        <w:rPr>
          <w:rStyle w:val="VerbatimChar"/>
        </w:rPr>
        <w:t xml:space="preserve">gpt-5.4</w:t>
      </w:r>
      <w:r>
        <w:t xml:space="preserve">, 0.234) is in the same band as the full-test</w:t>
      </w:r>
      <w:r>
        <w:t xml:space="preserve"> </w:t>
      </w:r>
      <w:r>
        <w:rPr>
          <w:rStyle w:val="VerbatimChar"/>
        </w:rPr>
        <w:t xml:space="preserve">gpt-5.2</w:t>
      </w:r>
      <w:r>
        <w:t xml:space="preserve"> </w:t>
      </w:r>
      <w:r>
        <w:t xml:space="preserve">zero-shot result (0.252). The prompted baseline is therefore not specific to a single provider or prompting family, and the placement of zero-shot prompting in a middle band below the strongest trained encoders holds across providers. Appendix A.20 and Table A18 report the per-family scores.</w:t>
      </w:r>
    </w:p>
    <w:bookmarkEnd w:id="32"/>
    <w:bookmarkStart w:id="39" w:name="X0ce3c8ca12618df96c03a79330ef5a35c7801ef"/>
    <w:p>
      <w:pPr>
        <w:pStyle w:val="Heading3"/>
        <w:keepNext/>
        <w:keepLines/>
        <w:widowControl w:val="1"/>
      </w:pPr>
      <w:r>
        <w:t xml:space="preserve">5.4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9 and Figure 4 make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A real-trained reference point puts this transfer in context. Training the same</w:t>
      </w:r>
      <w:r>
        <w:t xml:space="preserve"> </w:t>
      </w:r>
      <w:r>
        <w:rPr>
          <w:rStyle w:val="VerbatimChar"/>
        </w:rPr>
        <w:t xml:space="preserve">bert-base-uncased</w:t>
      </w:r>
      <w:r>
        <w:t xml:space="preserve"> </w:t>
      </w:r>
      <w:r>
        <w:t xml:space="preserve">detector on a real-Herath split and evaluating it on held-out real Herath, over the identical nine-aspect detection metric, reaches micro-F1 0.767 (95% CI [0.734, 0.800], four seeds, roughly 1,980 train / 566 test reviews). Against this same-task upper reference, the synthetic-only 0.4593, obtained with no real training data at all, recovers about 60% of real-trained performance, which is the relevant property when no labeled institutional data are available. This is consistent with the corpus authors' own published baselines on the real data (F1 0.64 for target-oriented opinion and aspect-term extraction and 0.75 for aspect-level sentiment, using fine-tuned BERT- and RoBERTa-family encoders [11]), which use different task formulations and so serve as additional context rather than a matched comparison.</w:t>
      </w:r>
    </w:p>
    <w:p>
      <w:pPr>
        <w:pStyle w:val="BodyText"/>
        <w:jc w:val="both"/>
        <w:keepNext w:val="0"/>
        <w:keepLines w:val="0"/>
        <w:widowControl w:val="1"/>
      </w:pPr>
      <w:r>
        <w:t xml:space="preserve">The synthetic corpus is moreover a useful initializer, not only a standalone training set. Pretraining the nine-aspect detector on the synthetic corpus and then fine-tuning it on the real-Herath train split reaches micro-F1 0.784 (95% CI [0.758, 0.809], four seeds), above the real-only baseline of 0.767 and far above the synthetic-only transfer of 0.459. Synthetic supervision therefore improves a real-data model rather than merely substituting for one, which is the property that matters for the institutional bootstrapping setting of Section 6.2: a program can pretrain on the shared synthetic corpus and fine-tune on a small adjudicated slice of its own reviews to exceed what either source supports alone.</w:t>
      </w:r>
    </w:p>
    <w:p>
      <w:pPr>
        <w:pStyle w:val="TableCaption"/>
        <w:spacing w:before="280" w:after="60" w:line="240" w:lineRule="auto"/>
        <w:jc w:val="center"/>
        <w:keepNext/>
        <w:keepLines/>
        <w:widowControl w:val="1"/>
      </w:pPr>
      <w:r>
        <w:rPr>
          <w:b/>
          <w:i/>
        </w:rPr>
        <w:t>Table 8.</w:t>
      </w:r>
      <w:r>
        <w:rPr>
          <w:b w:val="0"/>
          <w:i/>
        </w:rPr>
        <w:t xml:space="preserve"> </w:t>
      </w:r>
      <w:r>
        <w:rPr>
          <w:b w:val="0"/>
          <w:i/>
        </w:rPr>
        <w:t>Exact synthetic-to-real transfer scores on the mapped Herath benchmark over the conservative nine-aspect overlap. The table gives the precise model values, while Figure 3 adds the overlap-support context needed to interpret them.</w:t>
      </w:r>
    </w:p>
    <w:tbl>
      <w:tblPr>
        <w:tblStyle w:val="Table"/>
        <w:tblW w:type="pct" w:w="5000"/>
        <w:jc w:val="center"/>
        <w:tblLook w:firstRow="1" w:lastRow="0" w:firstColumn="0" w:lastColumn="0" w:noHBand="0" w:noVBand="0" w:val="0020"/>
        <w:tblCaption w:val="Table 8. Exact synthetic-to-real transfer scores on the mapped Herath benchmark over the conservative nine-aspect overlap. The table gives the precise model values, while Figure 3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5943600" cy="2117672"/>
            <wp:effectExtent b="0" l="0" r="0" t="0"/>
            <wp:docPr descr="External validation on mapped real student feedback" title="" id="34" name="Picture"/>
            <a:graphic>
              <a:graphicData uri="http://schemas.openxmlformats.org/drawingml/2006/picture">
                <pic:pic>
                  <pic:nvPicPr>
                    <pic:cNvPr descr="C:/Users/apart/AppData/Local/Temp/html2doc_svg_tQig1a/svg_2.png" id="35" name="Picture"/>
                    <pic:cNvPicPr>
                      <a:picLocks noChangeArrowheads="1" noChangeAspect="1"/>
                    </pic:cNvPicPr>
                  </pic:nvPicPr>
                  <pic:blipFill>
                    <a:blip r:embed="rId33"/>
                    <a:stretch>
                      <a:fillRect/>
                    </a:stretch>
                  </pic:blipFill>
                  <pic:spPr bwMode="auto">
                    <a:xfrm>
                      <a:off x="0" y="0"/>
                      <a:ext cx="5943600" cy="2117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8. The figure supports a partial-transfer claim only for the conservative 9-aspect overlap.</w:t>
      </w:r>
    </w:p>
    <w:p>
      <w:pPr>
        <w:pStyle w:val="BodyText"/>
        <w:jc w:val="center"/>
        <w:keepNext/>
        <w:keepLines/>
        <w:widowControl w:val="1"/>
      </w:pPr>
      <w:r>
        <w:drawing>
          <wp:inline>
            <wp:extent cx="5943600" cy="3208618"/>
            <wp:effectExtent b="0" l="0" r="0" t="0"/>
            <wp:docPr descr="Overlap-matched internal versus external comparison" title="" id="37" name="Picture"/>
            <a:graphic>
              <a:graphicData uri="http://schemas.openxmlformats.org/drawingml/2006/picture">
                <pic:pic>
                  <pic:nvPicPr>
                    <pic:cNvPr descr="C:/Users/apart/AppData/Local/Temp/html2doc_svg_tQig1a/svg_3.png" id="38" name="Picture"/>
                    <pic:cNvPicPr>
                      <a:picLocks noChangeArrowheads="1" noChangeAspect="1"/>
                    </pic:cNvPicPr>
                  </pic:nvPicPr>
                  <pic:blipFill>
                    <a:blip r:embed="rId36"/>
                    <a:stretch>
                      <a:fillRect/>
                    </a:stretch>
                  </pic:blipFill>
                  <pic:spPr bwMode="auto">
                    <a:xfrm>
                      <a:off x="0" y="0"/>
                      <a:ext cx="5943600" cy="320861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TableCaption"/>
        <w:spacing w:before="280" w:after="60" w:line="240" w:lineRule="auto"/>
        <w:jc w:val="center"/>
        <w:keepNext/>
        <w:keepLines/>
        <w:widowControl w:val="1"/>
      </w:pPr>
      <w:r>
        <w:rPr>
          <w:b/>
          <w:i/>
        </w:rPr>
        <w:t>Table 9.</w:t>
      </w:r>
      <w:r>
        <w:rPr>
          <w:b w:val="0"/>
          <w:i/>
        </w:rPr>
        <w:t xml:space="preserve"> </w:t>
      </w:r>
      <w:r>
        <w:rPr>
          <w:b w:val="0"/>
          <w:i/>
        </w:rPr>
        <w:t>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9.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bookmarkEnd w:id="39"/>
    <w:bookmarkStart w:id="40" w:name="corpus-scale-generation-diagnostics"/>
    <w:p>
      <w:pPr>
        <w:pStyle w:val="Heading3"/>
        <w:keepNext/>
        <w:keepLines/>
        <w:widowControl w:val="1"/>
      </w:pPr>
      <w:r>
        <w:t xml:space="preserve">5.5 Corpus-Scale Generation Diagnostics</w:t>
      </w:r>
    </w:p>
    <w:p>
      <w:pPr>
        <w:pStyle w:val="FirstParagraph"/>
        <w:jc w:val="both"/>
        <w:keepNext w:val="0"/>
        <w:keepLines w:val="0"/>
        <w:widowControl w:val="1"/>
      </w:pPr>
      <w:r>
        <w:t xml:space="preserve">The next two subsections return from downstream model behavior to generator quality: first the model-assisted label-faithfulness audit, then a faithfulness-aware filtering recipe that turns that audit into a training-data selection method. Corpus-scale output-control statistics (Appendix A.14) and the three-cycle realism-validation protocol and results (Appendices A.11 and A.13) are reported separately as generator diagnostics.</w:t>
      </w:r>
    </w:p>
    <w:bookmarkEnd w:id="40"/>
    <w:bookmarkStart w:id="41" w:name="model-assisted-label-faithfulness-audit"/>
    <w:p>
      <w:pPr>
        <w:pStyle w:val="Heading3"/>
        <w:keepNext/>
        <w:keepLines/>
        <w:widowControl w:val="1"/>
      </w:pPr>
      <w:r>
        <w:t xml:space="preserve">5.6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 Table 10 reports the resulting aspect-support and sentiment-match rates.</w:t>
      </w:r>
    </w:p>
    <w:p>
      <w:pPr>
        <w:pStyle w:val="TableCaption"/>
        <w:spacing w:before="280" w:after="60" w:line="240" w:lineRule="auto"/>
        <w:jc w:val="center"/>
        <w:keepNext/>
        <w:keepLines/>
        <w:widowControl w:val="1"/>
      </w:pPr>
      <w:r>
        <w:rPr>
          <w:b/>
          <w:i/>
        </w:rPr>
        <w:t>Table 10.</w:t>
      </w:r>
      <w:r>
        <w:rPr>
          <w:b w:val="0"/>
          <w:i/>
        </w:rPr>
        <w:t xml:space="preserve"> </w:t>
      </w:r>
      <w:r>
        <w:rPr>
          <w:b w:val="0"/>
          <w:i/>
        </w:rPr>
        <w:t>Model-assisted label-faithfulness audit showing how often declared aspects and polarities are visibly supported in generated text. The 0.42 aspect sentiment-match rate is a strict per-aspect lower bound under the strictest auditor, and it is the signal the Section 5.7 filter exploits.</w:t>
      </w:r>
    </w:p>
    <w:tbl>
      <w:tblPr>
        <w:tblStyle w:val="Table"/>
        <w:tblW w:type="pct" w:w="5000"/>
        <w:jc w:val="center"/>
        <w:tblLook w:firstRow="1" w:lastRow="0" w:firstColumn="0" w:lastColumn="0" w:noHBand="0" w:noVBand="0" w:val="0020"/>
        <w:tblCaption w:val="Table 10. Model-assisted label-faithfulness audit showing how often declared aspects and polarities are visibly supported in generated text. The 0.42 aspect sentiment-match rate is a strict per-aspect lower bound under the strictest auditor, and it is the signal the Section 5.7 filter exploi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10K corpus (250-review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pStyle w:val="BodyText"/>
        <w:spacing w:before="240"/>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The 0.42 aspect sentiment-match rate should be read precisely: it is a strict, conservative, per-aspect exact-polarity match required by the strictest auditor (</w:t>
      </w:r>
      <w:r>
        <w:rPr>
          <w:rStyle w:val="VerbatimChar"/>
        </w:rPr>
        <w:t xml:space="preserve">gpt-5.2</w:t>
      </w:r>
      <w:r>
        <w:t xml:space="preserve">, instructed to be strict and conservative) on the raw, unfiltered corpus, so it is a lower bound on faithfulness rather than a claim that "over half the sentiments conflict with the text"; a partly-correct multi-aspect row can score zero on an aspect whose polarity is merely understated. This raw diagnostic is precisely the signal the faithfulness-aware filter in Section 5.7 exploits: the low-scoring rows are demonstrably worse training data, and discarding them by audit score improves downstream sentiment fidelity. This interpretation supports benchmarking and method comparison while also motivating the filtering recipe that follows. Appendix A.8 retains the detailed audit table for direct comparison with later regenerated versions of the corpus.</w:t>
      </w:r>
    </w:p>
    <w:bookmarkEnd w:id="41"/>
    <w:bookmarkStart w:id="45" w:name="Xec374fd6700b55291d88c543fc650e2ccca6775"/>
    <w:p>
      <w:pPr>
        <w:pStyle w:val="Heading3"/>
        <w:keepNext/>
        <w:keepLines/>
        <w:widowControl w:val="1"/>
      </w:pPr>
      <w:r>
        <w:t xml:space="preserve">5.7 Faithfulness-Aware Filtering of the Training Corpus</w:t>
      </w:r>
    </w:p>
    <w:p>
      <w:pPr>
        <w:pStyle w:val="FirstParagraph"/>
        <w:jc w:val="both"/>
        <w:keepNext w:val="0"/>
        <w:keepLines w:val="0"/>
        <w:widowControl w:val="1"/>
      </w:pPr>
      <w:r>
        <w:t xml:space="preserve">The 250-row audit in Section 5.6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0.874 and per-aspect sentiment-match agreement 0.790). For each row we recorded the fraction of declared aspects whose polarity is supported by the text, producing a per-row faithfulness score with a heavily quantized distribution: 22.2% of rows scored 0.00, 11.1% 0.33, 18.2% 0.50, 11.0% 0.67, and 37.5% 1.00. This per-row score averages 0.58, higher than the 0.42 aspect-sentiment-match rate reported in Section 5.6 because it is a per-row mean under the more lenient cost-matched</w:t>
      </w:r>
      <w:r>
        <w:t xml:space="preserve"> </w:t>
      </w:r>
      <w:r>
        <w:rPr>
          <w:rStyle w:val="VerbatimChar"/>
        </w:rPr>
        <w:t xml:space="preserve">gpt-4.1-mini</w:t>
      </w:r>
      <w:r>
        <w:t xml:space="preserve"> </w:t>
      </w:r>
      <w:r>
        <w:t xml:space="preserve">judge rather than a per-aspect rate under the stricter</w:t>
      </w:r>
      <w:r>
        <w:t xml:space="preserve"> </w:t>
      </w:r>
      <w:r>
        <w:rPr>
          <w:rStyle w:val="VerbatimChar"/>
        </w:rPr>
        <w:t xml:space="preserve">gpt-5.2</w:t>
      </w:r>
      <w:r>
        <w:t xml:space="preserve"> </w:t>
      </w:r>
      <w:r>
        <w:t xml:space="preserve">auditor; the two judges agree on 79% of per-aspect sentiment decisions.</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5.2 recipe and evaluated each resulting model on two transfer targets: the same 9-aspect mapped Herath benchmark used in Section 5.4,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pStyle w:val="TableCaption"/>
        <w:spacing w:before="280" w:after="60" w:line="240" w:lineRule="auto"/>
        <w:jc w:val="center"/>
        <w:keepNext/>
        <w:keepLines/>
        <w:widowControl w:val="1"/>
      </w:pPr>
      <w:r>
        <w:rPr>
          <w:b/>
          <w:i/>
        </w:rPr>
        <w:t>Table 11.</w:t>
      </w:r>
      <w:r>
        <w:rPr>
          <w:b w:val="0"/>
          <w:i/>
        </w:rPr>
        <w:t xml:space="preserve"> </w:t>
      </w:r>
      <w:r>
        <w:rPr>
          <w:b w:val="0"/>
          <w:i/>
        </w:rPr>
        <w:t>Faithfulness-aware filtering of the 10K corpus, BERT-base-uncased trained on each subset and evaluated on the mapped 9-aspect Herath benchmark. Mean over eight seeds with 95% bootstrap CI in brackets. Sentiment MSE is computed on aspects the detector identified as present.</w:t>
      </w:r>
    </w:p>
    <w:tbl>
      <w:tblPr>
        <w:tblStyle w:val="Table"/>
        <w:tblW w:type="pct" w:w="5000"/>
        <w:jc w:val="center"/>
        <w:tblLook w:firstRow="1" w:lastRow="0" w:firstColumn="0" w:lastColumn="0" w:noHBand="0" w:noVBand="0" w:val="0020"/>
        <w:tblCaption w:val="Table 11.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pStyle w:val="BodyText"/>
        <w:spacing w:before="240"/>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 The size-matched filtering gain is specific to sentiment-polarity fidelity, the metric most sensitive to label faithfulness; on detection (macro balanced accuracy, Table 11) the audit score's effect is concentrated at the unfaithful end, where the</w:t>
      </w:r>
      <w:r>
        <w:t xml:space="preserve"> </w:t>
      </w:r>
      <w:r>
        <w:rPr>
          <w:rStyle w:val="VerbatimChar"/>
        </w:rPr>
        <w:t xml:space="preserve">bot25</w:t>
      </w:r>
      <w:r>
        <w:t xml:space="preserve"> </w:t>
      </w:r>
      <w:r>
        <w:t xml:space="preserve">bucket alone drops to 0.522.</w:t>
      </w:r>
    </w:p>
    <w:p>
      <w:pPr>
        <w:pStyle w:val="BodyText"/>
        <w:jc w:val="both"/>
        <w:keepNext w:val="0"/>
        <w:keepLines w:val="0"/>
        <w:widowControl w:val="1"/>
      </w:pPr>
      <w:r>
        <w:t xml:space="preserve">Because the sentiment MSE is computed only on aspects each model detected, we checked that the contrasts are not an artifact of different detection sets across buckets. They run, if anything, against the effect. At fixed training size,</w:t>
      </w:r>
      <w:r>
        <w:t xml:space="preserve"> </w:t>
      </w:r>
      <w:r>
        <w:rPr>
          <w:rStyle w:val="VerbatimChar"/>
        </w:rPr>
        <w:t xml:space="preserve">top50</w:t>
      </w:r>
      <w:r>
        <w:t xml:space="preserve"> </w:t>
      </w:r>
      <w:r>
        <w:t xml:space="preserve">detects</w:t>
      </w:r>
      <w:r>
        <w:t xml:space="preserve"> </w:t>
      </w:r>
      <w:r>
        <w:rPr>
          <w:i/>
          <w:iCs/>
        </w:rPr>
        <w:t xml:space="preserve">fewer</w:t>
      </w:r>
      <w:r>
        <w:t xml:space="preserve"> </w:t>
      </w:r>
      <w:r>
        <w:t xml:space="preserve">aspects than the random sample (BERT-Herath micro-recall 0.371 vs 0.438) yet still has the lower sentiment MSE, so its win does not come from scoring an easier or larger set. The</w:t>
      </w:r>
      <w:r>
        <w:t xml:space="preserve"> </w:t>
      </w:r>
      <w:r>
        <w:rPr>
          <w:rStyle w:val="VerbatimChar"/>
        </w:rPr>
        <w:t xml:space="preserve">bot25</w:t>
      </w:r>
      <w:r>
        <w:t xml:space="preserve"> </w:t>
      </w:r>
      <w:r>
        <w:t xml:space="preserve">control is the reverse: it degenerates into a high-recall, low-precision detector (micro-recall 0.793 vs the full corpus's 0.380) and nonetheless records the worst sentiment MSE. The sentiment-MSE differences therefore track label faithfulness, not how many or which aspects each model chose to score.</w:t>
      </w:r>
    </w:p>
    <w:p>
      <w:pPr>
        <w:pStyle w:val="TableCaption"/>
        <w:spacing w:before="280" w:after="60" w:line="240" w:lineRule="auto"/>
        <w:jc w:val="center"/>
        <w:keepNext/>
        <w:keepLines/>
        <w:widowControl w:val="1"/>
      </w:pPr>
      <w:r>
        <w:rPr>
          <w:b/>
          <w:i/>
        </w:rPr>
        <w:t>Table 12.</w:t>
      </w:r>
      <w:r>
        <w:rPr>
          <w:b w:val="0"/>
          <w:i/>
        </w:rPr>
        <w:t xml:space="preserve"> </w:t>
      </w:r>
      <w:r>
        <w:rPr>
          <w:b w:val="0"/>
          <w:i/>
        </w:rPr>
        <w:t>Cross-architecture and cross-target replication of the Section 5.7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w:t>
      </w:r>
    </w:p>
    <w:tbl>
      <w:tblPr>
        <w:tblStyle w:val="Table"/>
        <w:tblW w:type="pct" w:w="5000"/>
        <w:jc w:val="center"/>
        <w:tblLook w:firstRow="1" w:lastRow="0" w:firstColumn="0" w:lastColumn="0" w:noHBand="0" w:noVBand="0" w:val="0020"/>
        <w:tblCaption w:val="Table 12. Cross-architecture and cross-target replication of the Section 5.7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pStyle w:val="BodyText"/>
        <w:jc w:val="center"/>
        <w:keepNext/>
        <w:keepLines/>
        <w:widowControl w:val="1"/>
      </w:pPr>
      <w:r>
        <w:drawing>
          <wp:inline>
            <wp:extent cx="5943600" cy="4052454"/>
            <wp:effectExtent b="0" l="0" r="0" t="0"/>
            <wp:docPr descr="Faithfulness-aware filtering reduces sentiment-polarity error across two architectures and two transfer targets" title="" id="43" name="Picture"/>
            <a:graphic>
              <a:graphicData uri="http://schemas.openxmlformats.org/drawingml/2006/picture">
                <pic:pic>
                  <pic:nvPicPr>
                    <pic:cNvPr descr="C:/Users/apart/AppData/Local/Temp/html2doc_svg_tQig1a/svg_4.png" id="44" name="Picture"/>
                    <pic:cNvPicPr>
                      <a:picLocks noChangeArrowheads="1" noChangeAspect="1"/>
                    </pic:cNvPicPr>
                  </pic:nvPicPr>
                  <pic:blipFill>
                    <a:blip r:embed="rId42"/>
                    <a:stretch>
                      <a:fillRect/>
                    </a:stretch>
                  </pic:blipFill>
                  <pic:spPr bwMode="auto">
                    <a:xfrm>
                      <a:off x="0" y="0"/>
                      <a:ext cx="5943600" cy="40524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Table 12 collects these paired contrasts across both architectures and both transfer targets, and Figure 5 visualizes all conditions. Practically, the result is that the audit score in Section 5.6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three independent cost-matched judges across two providers. Per-aspect agreement against the GPT-5.2 audit converges for all three: gpt-4.1-mini at 0.874 support / 0.790 sentiment-match, gpt-4o-mini at 0.845 / 0.715, and Claude 3.5 Haiku (via OpenRouter) at 0.817 / 0.678. The audit-derived buckets are therefore robust to the choice of cost-matched judge. Using an LLM as a label auditor is consistent with evidence that LLM annotators can rival or exceed crowd workers on annotation tasks [35]; because LLM judges also carry documented biases [36], we control for them with the cross-provider agreement here and with the human-label validation below.</w:t>
      </w:r>
    </w:p>
    <w:p>
      <w:pPr>
        <w:pStyle w:val="BodyText"/>
        <w:jc w:val="both"/>
        <w:keepNext w:val="0"/>
        <w:keepLines w:val="0"/>
        <w:widowControl w:val="1"/>
      </w:pPr>
      <w:r>
        <w:t xml:space="preserve">Two properties make this filtering result robust to the audit being a model rather than ground truth. First, the audit score is validated behaviorally, not by judge agreement alone: the</w:t>
      </w:r>
      <w:r>
        <w:t xml:space="preserve"> </w:t>
      </w:r>
      <w:r>
        <w:rPr>
          <w:rStyle w:val="VerbatimChar"/>
        </w:rPr>
        <w:t xml:space="preserve">bot25</w:t>
      </w:r>
      <w:r>
        <w:t xml:space="preserve"> </w:t>
      </w:r>
      <w:r>
        <w:t xml:space="preserve">bucket is defined purely as the rows the audit scored lowest, and training on it degrades transfer on every architecture and target above, so low-audit rows are demonstrably worse training data regardless of whether any single verdict matches a human label. Second, because the same model family both generates and audits the corpus, the score is best read as an LLM-audit signal that is useful for training-row selection rather than as a measurement of ground-truth faithfulness; the cross-provider agreement above bounds single-judge bias, and the audit additionally reproduces human faithfulness labels on annotated data, as we show next.</w:t>
      </w:r>
    </w:p>
    <w:p>
      <w:pPr>
        <w:pStyle w:val="BodyText"/>
        <w:jc w:val="both"/>
        <w:keepNext w:val="0"/>
        <w:keepLines w:val="0"/>
        <w:widowControl w:val="1"/>
      </w:pPr>
      <w:r>
        <w:t xml:space="preserve">We close the loop by validating the audit directly against human labels. From the two human-annotated corpora (Herath and EduRABSA) we build 1,200 perturbation-controlled label variants: each sampled review carries a</w:t>
      </w:r>
      <w:r>
        <w:t xml:space="preserve"> </w:t>
      </w:r>
      <w:r>
        <w:rPr>
          <w:i/>
          <w:iCs/>
        </w:rPr>
        <w:t xml:space="preserve">faithful</w:t>
      </w:r>
      <w:r>
        <w:t xml:space="preserve"> </w:t>
      </w:r>
      <w:r>
        <w:t xml:space="preserve">variant with its human gold labels, a polarity-</w:t>
      </w:r>
      <w:r>
        <w:rPr>
          <w:i/>
          <w:iCs/>
        </w:rPr>
        <w:t xml:space="preserve">flipped</w:t>
      </w:r>
      <w:r>
        <w:t xml:space="preserve"> </w:t>
      </w:r>
      <w:r>
        <w:t xml:space="preserve">variant, and an aspect-</w:t>
      </w:r>
      <w:r>
        <w:rPr>
          <w:i/>
          <w:iCs/>
        </w:rPr>
        <w:t xml:space="preserve">injected</w:t>
      </w:r>
      <w:r>
        <w:t xml:space="preserve"> </w:t>
      </w:r>
      <w:r>
        <w:t xml:space="preserve">variant, and the Section 5.6 audit scores all three. The right comparison is per aspect, because the filter audits each declared aspect independently. Across 2,482 aspect-label decisions the audit reproduces the human judgment at Cohen's kappa 0.56 (moderate agreement on the Landis-Koch scale; precision 0.88, accuracy 0.78): it retains 0.69 of genuinely faithful aspects, rejects 0.89 of polarity-flipped aspects, and rejects 0.87 of injected absent aspects, with agreement higher on EduRABSA (kappa 0.62) than on Herath (kappa 0.51). The audit that drives the filter therefore tracks human faithfulness judgments on real annotated data, not only the verdicts of other LLM judges, and its precision means a label it accepts as faithful agrees with the human annotation 88% of the time. Because the generator and the cost-matched auditor share a provider family, one might worry that this agreement reflects a shared latent space rather than genuine textual faithfulness. To rule that out, we repeat the identical human-validation with a fully independent family: Google</w:t>
      </w:r>
      <w:r>
        <w:t xml:space="preserve"> </w:t>
      </w:r>
      <w:r>
        <w:rPr>
          <w:rStyle w:val="VerbatimChar"/>
        </w:rPr>
        <w:t xml:space="preserve">gemini-2.5-flash</w:t>
      </w:r>
      <w:r>
        <w:t xml:space="preserve"> </w:t>
      </w:r>
      <w:r>
        <w:t xml:space="preserve">scores the same 1,200 variants and agrees with the human labels at Cohen's kappa 0.62 (precision 0.89), matching and slightly exceeding the same-family GPT auditor. A model with no shared provenance with the</w:t>
      </w:r>
      <w:r>
        <w:t xml:space="preserve"> </w:t>
      </w:r>
      <w:r>
        <w:rPr>
          <w:rStyle w:val="VerbatimChar"/>
        </w:rPr>
        <w:t xml:space="preserve">gpt-5-nano</w:t>
      </w:r>
      <w:r>
        <w:t xml:space="preserve"> </w:t>
      </w:r>
      <w:r>
        <w:t xml:space="preserve">generator therefore reproduces the human faithfulness judgments at least as well, so the audit signal is human-grounded rather than an artifact of the generator's own family. Agreement is broken out by corpus in Appendix A.21 (Table A19): both auditors agree with humans more on EduRABSA (kappa 0.62 same-family, 0.67 independent) than on Herath (0.51 and 0.58). This tracks item granularity rather than a defect in either corpus, Herath items are single sentences (median 20 words) while EduRABSA items are short passages (median 38 words), so a shorter item gives the auditor less textual evidence per aspect. Because each decision is a binary faithful-versus-unfaithful judgment, the metric is invariant to the two corpora's different aspect label sets.</w:t>
      </w:r>
    </w:p>
    <w:p>
      <w:pPr>
        <w:pStyle w:val="BodyText"/>
        <w:jc w:val="both"/>
        <w:keepNext w:val="0"/>
        <w:keepLines w:val="0"/>
        <w:widowControl w:val="1"/>
      </w:pPr>
      <w:r>
        <w:t xml:space="preserve">A final robustness check asks whether the generate-audit-filter pipeline is specific to the GPT family that produced the corpus. We regenerated the same 150 label-conditioned prompts with four generator families spanning four providers, OpenAI</w:t>
      </w:r>
      <w:r>
        <w:t xml:space="preserve"> </w:t>
      </w:r>
      <w:r>
        <w:rPr>
          <w:rStyle w:val="VerbatimChar"/>
        </w:rPr>
        <w:t xml:space="preserve">gpt-5-nano</w:t>
      </w:r>
      <w:r>
        <w:t xml:space="preserve">, Google</w:t>
      </w:r>
      <w:r>
        <w:t xml:space="preserve"> </w:t>
      </w:r>
      <w:r>
        <w:rPr>
          <w:rStyle w:val="VerbatimChar"/>
        </w:rPr>
        <w:t xml:space="preserve">gemini-2.5-flash</w:t>
      </w:r>
      <w:r>
        <w:t xml:space="preserve">, Zhipu</w:t>
      </w:r>
      <w:r>
        <w:t xml:space="preserve"> </w:t>
      </w:r>
      <w:r>
        <w:rPr>
          <w:rStyle w:val="VerbatimChar"/>
        </w:rPr>
        <w:t xml:space="preserve">glm-4.6</w:t>
      </w:r>
      <w:r>
        <w:t xml:space="preserve">, and Meta</w:t>
      </w:r>
      <w:r>
        <w:t xml:space="preserve"> </w:t>
      </w:r>
      <w:r>
        <w:rPr>
          <w:rStyle w:val="VerbatimChar"/>
        </w:rPr>
        <w:t xml:space="preserve">llama-3.3-70b</w:t>
      </w:r>
      <w:r>
        <w:t xml:space="preserve">, and scored every generation with the identical</w:t>
      </w:r>
      <w:r>
        <w:t xml:space="preserve"> </w:t>
      </w:r>
      <w:r>
        <w:rPr>
          <w:rStyle w:val="VerbatimChar"/>
        </w:rPr>
        <w:t xml:space="preserve">gpt-5.2</w:t>
      </w:r>
      <w:r>
        <w:t xml:space="preserve"> </w:t>
      </w:r>
      <w:r>
        <w:t xml:space="preserve">label-fidelity audit. All four families produce auditable, label-faithful reviews: aspect support ranges from 0.921 to 0.968 and per-aspect sentiment match from 0.759 to 0.904, and the two non-GPT families, one closed (Google) and one open-weight (Zhipu), match or exceed the same-family</w:t>
      </w:r>
      <w:r>
        <w:t xml:space="preserve"> </w:t>
      </w:r>
      <w:r>
        <w:rPr>
          <w:rStyle w:val="VerbatimChar"/>
        </w:rPr>
        <w:t xml:space="preserve">gpt-5-nano</w:t>
      </w:r>
      <w:r>
        <w:t xml:space="preserve"> </w:t>
      </w:r>
      <w:r>
        <w:t xml:space="preserve">generator (sentiment match 0.857 and 0.904 versus 0.759). The audit therefore behaves consistently across providers and the pipeline is not tied to a single generator family. Appendix A.19 and Table A17 report the per-family rates.</w:t>
      </w:r>
    </w:p>
    <w:bookmarkEnd w:id="45"/>
    <w:bookmarkStart w:id="46" w:name="overall-interpretation"/>
    <w:p>
      <w:pPr>
        <w:pStyle w:val="Heading3"/>
        <w:keepNext/>
        <w:keepLines/>
        <w:widowControl w:val="1"/>
      </w:pPr>
      <w:r>
        <w:t xml:space="preserve">5.8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real educational feedback on two independent annotated corpora (Herath and EduRABSA), and a faithfulness-aware filtering recipe that retains the top-50% of the corpus by audit score to reduce sentiment-polarity error on transferred aspects.</w:t>
      </w:r>
    </w:p>
    <w:bookmarkEnd w:id="46"/>
    <w:bookmarkEnd w:id="47"/>
    <w:bookmarkStart w:id="54" w:name="discussion"/>
    <w:p>
      <w:pPr>
        <w:pStyle w:val="Heading2"/>
        <w:keepNext/>
        <w:keepLines/>
        <w:widowControl w:val="1"/>
      </w:pPr>
      <w:r>
        <w:t xml:space="preserve">6.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two conservative external transfer checks (Herath and EduRABSA).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two real educational annotation spaces (Herath and EduRABSA).</w:t>
      </w:r>
    </w:p>
    <w:bookmarkStart w:id="48" w:name="limitations"/>
    <w:p>
      <w:pPr>
        <w:pStyle w:val="Heading3"/>
        <w:keepNext/>
        <w:keepLines/>
        <w:widowControl w:val="1"/>
      </w:pPr>
      <w:r>
        <w:t xml:space="preserve">6.1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These two targets are also sentence-level (Herath median 20 words, EduRABSA 38) while the synthetic corpus is full-length reviews (median 122 words), so transfer here is a cross-granularity test, and the lower Herath scores partly reflect its shorter items rather than aspect content alone; a full-review real benchmark remains a natural addition. Practitioners should therefore not read the transfer results as validating the full schema: only 9 of the 20 aspects are externally checked, synthetic-only training recovers about 60% of a real-trained model, and any high-stakes or personnel decision requires human-in-the-loop review rather than reliance on the eleven aspects that have no real-data validation. Second, the realism-validation analysis is conducted with LLM judges and improves prompt quality without establishing statistical indistinguishability from real reviews under an adversarial frontier-model detector, a bar that current LLM-generated text does not clear regardless of generator family; the realism that is operative for a labeled training benchmark is functional rather than perceptual, and is evidenced by the synthetic-to-real transfer results above, where a model trained on the synthetic corpus recovers real-review aspect and polarity signal on two independent external corpora. The label-faithfulness audit is validated three ways (a behavioral negative control, cross-provider judge agreement, and direct agreement with human labels at Cohen's kappa 0.56 on two annotated corpora, Section 5.7). Because the generator and the cost-matched auditor share a provider family, we further confirm that the audit is not merely detecting same-family latent patterns by reproducing the human-agreement check with a fully independent family (Google Gemini, Cohen's kappa 0.62); human re-annotation across the full 20-aspect schema remains the natural extension. Third, a nontrivial share of rows (841 of 10,000) reached the output-token cap and lowered full-corpus length-band adherence to 0.6819; this is a recoverable token-budget artifact rather than a control failure, since regenerating exactly those rows at a higher cap eliminates the truncation and restores full-corpus adherence to 0.7125, close to but still below the never-truncated rate of 0.7304 (Appendix A.14), and length band is in any case a soft stylistic target rather than a labeled control variable. Fourth, downstream training on the 10K corpus benefits from the Section 5.7 top-50% faithfulness filter (validated across two BERT-family architectures and both transfer targets); the audit score is the validated way to select training rows for sentiment-polarity fidelity on transferred aspects. Fifth, the downstream GPT comparison covers a full-test</w:t>
      </w:r>
      <w:r>
        <w:t xml:space="preserve"> </w:t>
      </w:r>
      <w:r>
        <w:rPr>
          <w:rStyle w:val="VerbatimChar"/>
        </w:rPr>
        <w:t xml:space="preserve">gpt-5.2</w:t>
      </w:r>
      <w:r>
        <w:t xml:space="preserve"> </w:t>
      </w:r>
      <w:r>
        <w:t xml:space="preserve">benchmark and still represents one provider model rather than the full space of proprietary LLM baselines; on the generation side, however, the corpus pipeline is no longer single-provider, since the generate-audit-filter loop reproduces comparable label fidelity across four generator families spanning four providers (Appendix A.19), so the remaining single-provider element is the prompted downstream baseline rather than the corpus construction.</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48"/>
    <w:bookmarkStart w:id="52" w:name="educational-implications"/>
    <w:p>
      <w:pPr>
        <w:pStyle w:val="Heading3"/>
        <w:keepNext/>
        <w:keepLines/>
        <w:widowControl w:val="1"/>
      </w:pPr>
      <w:r>
        <w:t xml:space="preserve">6.2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is a one-time generation cost far below that annotation budget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A concrete adoption roadmap follows from a fine-tuning-size sweep. Pretraining the detector on the synthetic corpus and then fine-tuning on a subsampled slice of real, locally adjudicated reviews traces a smooth curve (Figure 6): as few as 100 real reviews lift 9-aspect detection to micro-F1 0.58 (well above the 0.46 of synthetic-only transfer), 500 reach 0.70, 1,000 reach 0.74, and the full real set 0.77, matching a model trained on real data alone (0.767). Two operational guidelines follow. First, minimum data: roughly 250 to 500 locally labeled reviews already capture most of the benefit and are a realistic annotation budget for a single department, while the synthetic pretrain lets an institution reach real-only quality with about half the real data. Second, expected degradation and monitoring: a deployment fine-tuned on N local reviews should expect the micro-F1 in Figure 6 rather than the internal-benchmark or full-real numbers, and should be monitored against a held-out slice of locally adjudicated examples, re-checking whenever the feedback distribution shifts (new platform, course redesign, or cohort change).</w:t>
      </w:r>
    </w:p>
    <w:p>
      <w:pPr>
        <w:pStyle w:val="BodyText"/>
        <w:jc w:val="center"/>
        <w:keepNext/>
        <w:keepLines/>
        <w:widowControl w:val="1"/>
      </w:pPr>
      <w:r>
        <w:drawing>
          <wp:inline>
            <wp:extent cx="5943600" cy="3341763"/>
            <wp:effectExtent b="0" l="0" r="0" t="0"/>
            <wp:docPr descr="Minimum fine-tuning-size curve" title="" id="50" name="Picture"/>
            <a:graphic>
              <a:graphicData uri="http://schemas.openxmlformats.org/drawingml/2006/picture">
                <pic:pic>
                  <pic:nvPicPr>
                    <pic:cNvPr descr="C:/Users/apart/AppData/Local/Temp/html2doc_svg_tQig1a/svg_5.png" id="51" name="Picture"/>
                    <pic:cNvPicPr>
                      <a:picLocks noChangeArrowheads="1" noChangeAspect="1"/>
                    </pic:cNvPicPr>
                  </pic:nvPicPr>
                  <pic:blipFill>
                    <a:blip r:embed="rId49"/>
                    <a:stretch>
                      <a:fillRect/>
                    </a:stretch>
                  </pic:blipFill>
                  <pic:spPr bwMode="auto">
                    <a:xfrm>
                      <a:off x="0" y="0"/>
                      <a:ext cx="5943600" cy="334176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Minimum fine-tuning size. Real-test 9-aspect micro-F1 as a function of the number of real Herath reviews used to fine-tune a synthetic-pretrained detector (mean of two seeds, error bars are one standard deviation), against the synthetic-only-transfer and real-only-training references. A few hundred real reviews recover most of the gap.</w:t>
      </w:r>
    </w:p>
    <w:p>
      <w:pPr>
        <w:pStyle w:val="BodyText"/>
        <w:jc w:val="both"/>
        <w:keepNext w:val="0"/>
        <w:keepLines w:val="0"/>
        <w:widowControl w:val="1"/>
      </w:pPr>
      <w:r>
        <w:t xml:space="preserve">None of these uses presume that synthetic supervision replaces human annotation. The label-faithfulness audit constrains them directly: with a strict per-aspect lower-bound aspect-sentiment match of 0.42 on a 250-review sample (per-row mean 0.58, Section 5.7),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5.7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52"/>
    <w:bookmarkStart w:id="53" w:name="ethics-statement"/>
    <w:p>
      <w:pPr>
        <w:pStyle w:val="Heading3"/>
        <w:keepNext/>
        <w:keepLines/>
        <w:widowControl w:val="1"/>
      </w:pPr>
      <w:r>
        <w:t xml:space="preserve">6.3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53"/>
    <w:bookmarkEnd w:id="54"/>
    <w:bookmarkStart w:id="55" w:name="conclusion"/>
    <w:p>
      <w:pPr>
        <w:pStyle w:val="Heading2"/>
        <w:keepNext/>
        <w:keepLines/>
        <w:widowControl w:val="1"/>
      </w:pPr>
      <w:r>
        <w:t xml:space="preserve">7.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Herath overlap and a 7-aspect EduRABSA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p>
      <w:pPr>
        <w:pStyle w:val="BodyText"/>
        <w:jc w:val="both"/>
        <w:keepNext w:val="0"/>
        <w:keepLines w:val="0"/>
        <w:widowControl w:val="1"/>
      </w:pPr>
      <w:r>
        <w:t xml:space="preserve">Reproducibility: the generation artifacts, local benchmark outputs, and realism-study files are kept distinct throughout, so each reported number traces to its own artifact.</w:t>
      </w:r>
    </w:p>
    <w:bookmarkEnd w:id="55"/>
    <w:bookmarkStart w:id="101" w:name="appendix"/>
    <w:p>
      <w:pPr>
        <w:pStyle w:val="Heading2"/>
        <w:keepNext/>
        <w:keepLines/>
        <w:widowControl w:val="1"/>
      </w:pPr>
      <w:r>
        <w:t xml:space="preserve">Appendix</w:t>
      </w:r>
    </w:p>
    <w:bookmarkStart w:id="56"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pStyle w:val="TableCaption"/>
        <w:spacing w:before="28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bookmarkEnd w:id="56"/>
    <w:bookmarkStart w:id="57"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pStyle w:val="TableCaption"/>
        <w:spacing w:before="28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bookmarkEnd w:id="57"/>
    <w:bookmarkStart w:id="58"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 Table A3 shows the generation instruction at each cycle.</w:t>
      </w:r>
    </w:p>
    <w:p>
      <w:pPr>
        <w:pStyle w:val="TableCaption"/>
        <w:spacing w:before="28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bookmarkEnd w:id="58"/>
    <w:bookmarkStart w:id="59"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pStyle w:val="TableCaption"/>
        <w:spacing w:before="28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3.</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bookmarkEnd w:id="59"/>
    <w:bookmarkStart w:id="63"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5943600" cy="4405351"/>
            <wp:effectExtent b="0" l="0" r="0" t="0"/>
            <wp:docPr descr="Per-aspect F1 heatmap on the mapped real benchmark" title="" id="61" name="Picture"/>
            <a:graphic>
              <a:graphicData uri="http://schemas.openxmlformats.org/drawingml/2006/picture">
                <pic:pic>
                  <pic:nvPicPr>
                    <pic:cNvPr descr="C:/Users/apart/AppData/Local/Temp/html2doc_svg_tQig1a/svg_6.png" id="62" name="Picture"/>
                    <pic:cNvPicPr>
                      <a:picLocks noChangeArrowheads="1" noChangeAspect="1"/>
                    </pic:cNvPicPr>
                  </pic:nvPicPr>
                  <pic:blipFill>
                    <a:blip r:embed="rId60"/>
                    <a:stretch>
                      <a:fillRect/>
                    </a:stretch>
                  </pic:blipFill>
                  <pic:spPr bwMode="auto">
                    <a:xfrm>
                      <a:off x="0" y="0"/>
                      <a:ext cx="5943600" cy="44053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63"/>
    <w:bookmarkStart w:id="64"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7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pStyle w:val="TableCaption"/>
        <w:spacing w:before="28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7.</w:t>
      </w:r>
    </w:p>
    <w:tbl>
      <w:tblPr>
        <w:tblStyle w:val="Table"/>
        <w:tblW w:type="pct" w:w="5000"/>
        <w:jc w:val="center"/>
        <w:tblLook w:firstRow="1" w:lastRow="0" w:firstColumn="0" w:lastColumn="0" w:noHBand="0" w:noVBand="0" w:val="0020"/>
        <w:tblCaption w:val="Table A5. Configuration details for the GPT-based inference methods reported in Tabl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bookmarkEnd w:id="64"/>
    <w:bookmarkStart w:id="68"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pStyle w:val="TableCaption"/>
        <w:spacing w:before="28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5943600" cy="3714145"/>
            <wp:effectExtent b="0" l="0" r="0" t="0"/>
            <wp:docPr descr="Aspect count distribution in the pilot validation subset" title="" id="66" name="Picture"/>
            <a:graphic>
              <a:graphicData uri="http://schemas.openxmlformats.org/drawingml/2006/picture">
                <pic:pic>
                  <pic:nvPicPr>
                    <pic:cNvPr descr="C:/Users/apart/AppData/Local/Temp/html2doc_svg_tQig1a/svg_7.png" id="67" name="Picture"/>
                    <pic:cNvPicPr>
                      <a:picLocks noChangeArrowheads="1" noChangeAspect="1"/>
                    </pic:cNvPicPr>
                  </pic:nvPicPr>
                  <pic:blipFill>
                    <a:blip r:embed="rId65"/>
                    <a:stretch>
                      <a:fillRect/>
                    </a:stretch>
                  </pic:blipFill>
                  <pic:spPr bwMode="auto">
                    <a:xfrm>
                      <a:off x="0" y="0"/>
                      <a:ext cx="5943600" cy="37141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bookmarkEnd w:id="68"/>
    <w:bookmarkStart w:id="69"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pStyle w:val="TableCaption"/>
        <w:spacing w:before="28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10K corpus (250-review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bookmarkEnd w:id="69"/>
    <w:bookmarkStart w:id="76"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5.2. They show how the two-step and joint formulations compare directly, how stable the strongest local models are across three seeds, and how a modest training-budget change affects BERT and DistilBERT.</w:t>
      </w:r>
    </w:p>
    <w:p>
      <w:pPr>
        <w:pStyle w:val="TableCaption"/>
        <w:spacing w:before="28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5943600" cy="3668102"/>
            <wp:effectExtent b="0" l="0" r="0" t="0"/>
            <wp:docPr descr="Seed stability across the strongest local models" title="" id="71" name="Picture"/>
            <a:graphic>
              <a:graphicData uri="http://schemas.openxmlformats.org/drawingml/2006/picture">
                <pic:pic>
                  <pic:nvPicPr>
                    <pic:cNvPr descr="C:/Users/apart/AppData/Local/Temp/html2doc_svg_tQig1a/svg_8.png" id="72" name="Picture"/>
                    <pic:cNvPicPr>
                      <a:picLocks noChangeArrowheads="1" noChangeAspect="1"/>
                    </pic:cNvPicPr>
                  </pic:nvPicPr>
                  <pic:blipFill>
                    <a:blip r:embed="rId70"/>
                    <a:stretch>
                      <a:fillRect/>
                    </a:stretch>
                  </pic:blipFill>
                  <pic:spPr bwMode="auto">
                    <a:xfrm>
                      <a:off x="0" y="0"/>
                      <a:ext cx="5943600" cy="36681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8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5943600" cy="2804997"/>
            <wp:effectExtent b="0" l="0" r="0" t="0"/>
            <wp:docPr descr="Training-budget tuning comparison for BERT and DistilBERT" title="" id="74" name="Picture"/>
            <a:graphic>
              <a:graphicData uri="http://schemas.openxmlformats.org/drawingml/2006/picture">
                <pic:pic>
                  <pic:nvPicPr>
                    <pic:cNvPr descr="C:/Users/apart/AppData/Local/Temp/html2doc_svg_tQig1a/svg_9.png" id="75" name="Picture"/>
                    <pic:cNvPicPr>
                      <a:picLocks noChangeArrowheads="1" noChangeAspect="1"/>
                    </pic:cNvPicPr>
                  </pic:nvPicPr>
                  <pic:blipFill>
                    <a:blip r:embed="rId73"/>
                    <a:stretch>
                      <a:fillRect/>
                    </a:stretch>
                  </pic:blipFill>
                  <pic:spPr bwMode="auto">
                    <a:xfrm>
                      <a:off x="0" y="0"/>
                      <a:ext cx="5943600" cy="280499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8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bookmarkEnd w:id="76"/>
    <w:bookmarkStart w:id="77"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pStyle w:val="TableCaption"/>
        <w:spacing w:before="28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bookmarkEnd w:id="77"/>
    <w:bookmarkStart w:id="81" w:name="X304f2205515e63fcc26284e332032d7c1071511"/>
    <w:p>
      <w:pPr>
        <w:pStyle w:val="Heading3"/>
        <w:keepNext/>
        <w:keepLines/>
        <w:widowControl w:val="1"/>
      </w:pPr>
      <w:r>
        <w:t xml:space="preserve">A.11 Generator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pStyle w:val="BodyText"/>
        <w:jc w:val="center"/>
        <w:keepNext/>
        <w:keepLines/>
        <w:widowControl w:val="1"/>
      </w:pPr>
      <w:r>
        <w:drawing>
          <wp:inline>
            <wp:extent cx="5943600" cy="1731311"/>
            <wp:effectExtent b="0" l="0" r="0" t="0"/>
            <wp:docPr descr="Realism improvement curve" title="" id="79" name="Picture"/>
            <a:graphic>
              <a:graphicData uri="http://schemas.openxmlformats.org/drawingml/2006/picture">
                <pic:pic>
                  <pic:nvPicPr>
                    <pic:cNvPr descr="C:/Users/apart/AppData/Local/Temp/html2doc_svg_tQig1a/svg_10.png" id="80" name="Picture"/>
                    <pic:cNvPicPr>
                      <a:picLocks noChangeArrowheads="1" noChangeAspect="1"/>
                    </pic:cNvPicPr>
                  </pic:nvPicPr>
                  <pic:blipFill>
                    <a:blip r:embed="rId78"/>
                    <a:stretch>
                      <a:fillRect/>
                    </a:stretch>
                  </pic:blipFill>
                  <pic:spPr bwMode="auto">
                    <a:xfrm>
                      <a:off x="0" y="0"/>
                      <a:ext cx="5943600" cy="17313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A5.</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bookmarkEnd w:id="81"/>
    <w:bookmarkStart w:id="82" w:name="a.12-complementary-generator-diagnostics"/>
    <w:p>
      <w:pPr>
        <w:pStyle w:val="Heading3"/>
        <w:keepNext/>
        <w:keepLines/>
        <w:widowControl w:val="1"/>
      </w:pPr>
      <w:r>
        <w:t xml:space="preserve">A.12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in Section 5.6: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82"/>
    <w:bookmarkStart w:id="83" w:name="X3c5ea88a991f84838d32e28f95869c20603e169"/>
    <w:p>
      <w:pPr>
        <w:pStyle w:val="Heading3"/>
        <w:keepNext/>
        <w:keepLines/>
        <w:widowControl w:val="1"/>
      </w:pPr>
      <w:r>
        <w:t xml:space="preserve">A.13 Three-Cycle Realism-Validation Results</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 Figure A5 plots the per-cycle accuracy, confusion, and entropy, and Table A12 summarizes the three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pStyle w:val="TableCaption"/>
        <w:spacing w:before="280" w:after="60" w:line="240" w:lineRule="auto"/>
        <w:jc w:val="center"/>
        <w:keepNext/>
        <w:keepLines/>
        <w:widowControl w:val="1"/>
      </w:pPr>
      <w:r>
        <w:rPr>
          <w:b/>
          <w:i/>
        </w:rPr>
        <w:t>Table A12.</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A12.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pStyle w:val="BodyText"/>
        <w:spacing w:before="240"/>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83"/>
    <w:bookmarkStart w:id="90" w:name="a.14-full-corpus-output-control"/>
    <w:p>
      <w:pPr>
        <w:pStyle w:val="Heading3"/>
        <w:keepNext/>
        <w:keepLines/>
        <w:widowControl w:val="1"/>
      </w:pPr>
      <w:r>
        <w:t xml:space="preserve">A.14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This shortfall is a token-budget artifact rather than a control failure: on the 9,159 rows that never hit the cap, length-band adherence is 0.7304, and the 841 truncated rows account for the entire gap below that level. Regenerating exactly those 841 rows with the same generator (</w:t>
      </w:r>
      <w:r>
        <w:rPr>
          <w:rStyle w:val="VerbatimChar"/>
        </w:rPr>
        <w:t xml:space="preserve">gpt-5-nano</w:t>
      </w:r>
      <w:r>
        <w:t xml:space="preserve">) and prompt at a raised output cap eliminates the truncation (incomplete rate 8.41% to 0%) and recovers full-corpus adherence to 0.7125, close to but still below the never-truncated rate of 0.7304 (the regenerated rows themselves reach about 0.52, so a small residual gap remains). Length band is a soft stylistic target sampled per review; the controlled variables are the per-review aspect-sentiment labels, which truncation does not affect. The released corpus is left unchanged and this regeneration is reported only as an output-control diagnostic (</w:t>
      </w:r>
      <w:r>
        <w:rPr>
          <w:rStyle w:val="VerbatimChar"/>
        </w:rPr>
        <w:t xml:space="preserve">paper/outputs/n1_adherence_summary.json</w:t>
      </w:r>
      <w:r>
        <w:t xml:space="preserve">).</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A7 makes this visible directly by combining length, aspect-count, course, and style evidence in one place.</w:t>
      </w:r>
    </w:p>
    <w:p>
      <w:pPr>
        <w:pStyle w:val="BodyText"/>
        <w:jc w:val="center"/>
        <w:keepNext/>
        <w:keepLines/>
        <w:widowControl w:val="1"/>
      </w:pPr>
      <w:r>
        <w:drawing>
          <wp:inline>
            <wp:extent cx="5943600" cy="4272623"/>
            <wp:effectExtent b="0" l="0" r="0" t="0"/>
            <wp:docPr descr="Aspect sentiment heatmap" title="" id="85" name="Picture"/>
            <a:graphic>
              <a:graphicData uri="http://schemas.openxmlformats.org/drawingml/2006/picture">
                <pic:pic>
                  <pic:nvPicPr>
                    <pic:cNvPr descr="C:/Users/apart/AppData/Local/Temp/html2doc_svg_tQig1a/svg_11.png" id="86" name="Picture"/>
                    <pic:cNvPicPr>
                      <a:picLocks noChangeArrowheads="1" noChangeAspect="1"/>
                    </pic:cNvPicPr>
                  </pic:nvPicPr>
                  <pic:blipFill>
                    <a:blip r:embed="rId84"/>
                    <a:stretch>
                      <a:fillRect/>
                    </a:stretch>
                  </pic:blipFill>
                  <pic:spPr bwMode="auto">
                    <a:xfrm>
                      <a:off x="0" y="0"/>
                      <a:ext cx="5943600" cy="4272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A6.</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pStyle w:val="BodyText"/>
        <w:jc w:val="center"/>
        <w:keepNext/>
        <w:keepLines/>
        <w:widowControl w:val="1"/>
      </w:pPr>
      <w:r>
        <w:drawing>
          <wp:inline>
            <wp:extent cx="5943600" cy="3877108"/>
            <wp:effectExtent b="0" l="0" r="0" t="0"/>
            <wp:docPr descr="Corpus profile" title="" id="88" name="Picture"/>
            <a:graphic>
              <a:graphicData uri="http://schemas.openxmlformats.org/drawingml/2006/picture">
                <pic:pic>
                  <pic:nvPicPr>
                    <pic:cNvPr descr="C:/Users/apart/AppData/Local/Temp/html2doc_svg_tQig1a/svg_12.png" id="89" name="Picture"/>
                    <pic:cNvPicPr>
                      <a:picLocks noChangeArrowheads="1" noChangeAspect="1"/>
                    </pic:cNvPicPr>
                  </pic:nvPicPr>
                  <pic:blipFill>
                    <a:blip r:embed="rId87"/>
                    <a:stretch>
                      <a:fillRect/>
                    </a:stretch>
                  </pic:blipFill>
                  <pic:spPr bwMode="auto">
                    <a:xfrm>
                      <a:off x="0" y="0"/>
                      <a:ext cx="5943600" cy="387710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A7.</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bookmarkEnd w:id="90"/>
    <w:bookmarkStart w:id="91" w:name="X2b8626aa3872c4a2621ede4ed3f4cc078fcd80e"/>
    <w:p>
      <w:pPr>
        <w:pStyle w:val="Heading3"/>
        <w:keepNext/>
        <w:keepLines/>
        <w:widowControl w:val="1"/>
      </w:pPr>
      <w:r>
        <w:t xml:space="preserve">A.15 Corpus Profile and Representative Examples</w:t>
      </w:r>
    </w:p>
    <w:p>
      <w:pPr>
        <w:pStyle w:val="FirstParagraph"/>
        <w:jc w:val="both"/>
        <w:keepNext w:val="0"/>
        <w:keepLines w:val="0"/>
        <w:widowControl w:val="1"/>
      </w:pPr>
      <w:r>
        <w:t xml:space="preserve">Figure A6 and Figure A7 establish the corpus-level structure before any model results are introduced. Figure A6 shows how label support is distributed across aspects and sentiment polarities, which makes it easier to distinguish heavily represented pedagogical dimensions from thinner parts of the schema. Figure A7 complements that view with review length, aspect-count mixture, course coverage, and style variation. Table A13 then gives a qualitative sense of how these distributions appear in actual review text. These examples are included to help the reader interpret the benchmark qualitatively, not as a substitute for aggregate model evidence.</w:t>
      </w:r>
    </w:p>
    <w:p>
      <w:pPr>
        <w:pStyle w:val="TableCaption"/>
        <w:spacing w:before="280" w:after="60" w:line="240" w:lineRule="auto"/>
        <w:jc w:val="center"/>
        <w:keepNext/>
        <w:keepLines/>
        <w:widowControl w:val="1"/>
      </w:pPr>
      <w:r>
        <w:rPr>
          <w:b/>
          <w:i/>
        </w:rPr>
        <w:t>Table A13.</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A13.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bookmarkEnd w:id="91"/>
    <w:bookmarkStart w:id="95" w:name="Xa89f44b29023f9b4d5ed68d8a7e9105de596a5f"/>
    <w:p>
      <w:pPr>
        <w:pStyle w:val="Heading3"/>
        <w:keepNext/>
        <w:keepLines/>
        <w:widowControl w:val="1"/>
      </w:pPr>
      <w:r>
        <w:t xml:space="preserve">A.16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 Figure A8 plots the per-aspect detection and sentiment profile, and Table A14 lists the strongest and weakest aspect categories.</w:t>
      </w:r>
    </w:p>
    <w:p>
      <w:pPr>
        <w:pStyle w:val="BodyText"/>
        <w:jc w:val="center"/>
        <w:keepNext/>
        <w:keepLines/>
        <w:widowControl w:val="1"/>
      </w:pPr>
      <w:r>
        <w:drawing>
          <wp:inline>
            <wp:extent cx="5943600" cy="4255881"/>
            <wp:effectExtent b="0" l="0" r="0" t="0"/>
            <wp:docPr descr="Best-model per-aspect benchmark" title="" id="93" name="Picture"/>
            <a:graphic>
              <a:graphicData uri="http://schemas.openxmlformats.org/drawingml/2006/picture">
                <pic:pic>
                  <pic:nvPicPr>
                    <pic:cNvPr descr="C:/Users/apart/AppData/Local/Temp/html2doc_svg_tQig1a/svg_13.png" id="94" name="Picture"/>
                    <pic:cNvPicPr>
                      <a:picLocks noChangeArrowheads="1" noChangeAspect="1"/>
                    </pic:cNvPicPr>
                  </pic:nvPicPr>
                  <pic:blipFill>
                    <a:blip r:embed="rId92"/>
                    <a:stretch>
                      <a:fillRect/>
                    </a:stretch>
                  </pic:blipFill>
                  <pic:spPr bwMode="auto">
                    <a:xfrm>
                      <a:off x="0" y="0"/>
                      <a:ext cx="5943600" cy="425588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A8.</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pStyle w:val="TableCaption"/>
        <w:spacing w:before="280" w:after="60" w:line="240" w:lineRule="auto"/>
        <w:jc w:val="center"/>
        <w:keepNext/>
        <w:keepLines/>
        <w:widowControl w:val="1"/>
      </w:pPr>
      <w:r>
        <w:rPr>
          <w:b/>
          <w:i/>
        </w:rPr>
        <w:t>Table A14.</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A14.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bookmarkEnd w:id="95"/>
    <w:bookmarkStart w:id="96" w:name="Xcff4fdc3f32e8d83897da2258871956dfc8400e"/>
    <w:p>
      <w:pPr>
        <w:pStyle w:val="Heading3"/>
        <w:keepNext/>
        <w:keepLines/>
        <w:widowControl w:val="1"/>
      </w:pPr>
      <w:r>
        <w:t xml:space="preserve">A.17 Prior Real-Data Educational Sentiment Results in Context</w:t>
      </w:r>
    </w:p>
    <w:p>
      <w:pPr>
        <w:pStyle w:val="TableCaption"/>
        <w:spacing w:before="280" w:after="60" w:line="240" w:lineRule="auto"/>
        <w:jc w:val="center"/>
        <w:keepNext/>
        <w:keepLines/>
        <w:widowControl w:val="1"/>
      </w:pPr>
      <w:r>
        <w:rPr>
          <w:b/>
          <w:i/>
        </w:rPr>
        <w:t>Table A15.</w:t>
      </w:r>
      <w:r>
        <w:rPr>
          <w:b w:val="0"/>
          <w:i/>
        </w:rPr>
        <w:t xml:space="preserve"> </w:t>
      </w:r>
      <w:r>
        <w:rPr>
          <w:b w:val="0"/>
          <w:i/>
        </w:rPr>
        <w:t>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A15.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pStyle w:val="BodyText"/>
        <w:spacing w:before="240"/>
        <w:jc w:val="both"/>
        <w:keepNext w:val="0"/>
        <w:keepLines w:val="0"/>
        <w:widowControl w:val="1"/>
      </w:pPr>
      <w:r>
        <w:t xml:space="preserve">Table A15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96"/>
    <w:bookmarkStart w:id="97" w:name="a.18-output-token-capped-incomplete-rows"/>
    <w:p>
      <w:pPr>
        <w:pStyle w:val="Heading3"/>
        <w:keepNext/>
        <w:keepLines/>
        <w:widowControl w:val="1"/>
      </w:pPr>
      <w:r>
        <w:t xml:space="preserve">A.18 Output-Token-Capped (Incomplete) Rows</w:t>
      </w:r>
    </w:p>
    <w:p>
      <w:pPr>
        <w:pStyle w:val="FirstParagraph"/>
        <w:jc w:val="both"/>
        <w:keepNext w:val="0"/>
        <w:keepLines w:val="0"/>
        <w:widowControl w:val="1"/>
      </w:pPr>
      <w:r>
        <w:t xml:space="preserve">The 841 rows the API marked</w:t>
      </w:r>
      <w:r>
        <w:t xml:space="preserve"> </w:t>
      </w:r>
      <w:r>
        <w:rPr>
          <w:rStyle w:val="VerbatimChar"/>
        </w:rPr>
        <w:t xml:space="preserve">incomplete</w:t>
      </w:r>
      <w:r>
        <w:t xml:space="preserve"> </w:t>
      </w:r>
      <w:r>
        <w:t xml:space="preserve">(Section 3.6) were identified exactly by joining the generation batch output's per-row status to the assembled corpus. Relative to the 9,159 complete rows they are shorter and carry fewer aspects, with a comparable sentiment mix (Table A16). Retraining</w:t>
      </w:r>
      <w:r>
        <w:t xml:space="preserve"> </w:t>
      </w:r>
      <w:r>
        <w:rPr>
          <w:rStyle w:val="VerbatimChar"/>
        </w:rPr>
        <w:t xml:space="preserve">bert-base-uncased</w:t>
      </w:r>
      <w:r>
        <w:t xml:space="preserve"> </w:t>
      </w:r>
      <w:r>
        <w:t xml:space="preserve">detection on the corpus with these rows excluded, at three seeds, changes the held-out benchmark only marginally and not favorably (micro-F1 0.264 versus 0.275, macro balanced accuracy 0.613 versus 0.619), a difference consistent with the roughly 8% smaller training set rather than a systematic label-quality gain. The reported benchmark is therefore robust to their inclusion.</w:t>
      </w:r>
    </w:p>
    <w:p>
      <w:pPr>
        <w:pStyle w:val="TableCaption"/>
        <w:spacing w:before="280" w:after="60" w:line="240" w:lineRule="auto"/>
        <w:jc w:val="center"/>
        <w:keepNext/>
        <w:keepLines/>
        <w:widowControl w:val="1"/>
      </w:pPr>
      <w:r>
        <w:rPr>
          <w:b/>
          <w:i/>
        </w:rPr>
        <w:t>Table A16.</w:t>
      </w:r>
      <w:r>
        <w:rPr>
          <w:b w:val="0"/>
          <w:i/>
        </w:rPr>
        <w:t xml:space="preserve"> </w:t>
      </w:r>
      <w:r>
        <w:rPr>
          <w:b w:val="0"/>
          <w:i/>
        </w:rPr>
        <w:t>Distribution of the 841 output-token-capped (incomplete) rows versus the 9,159 complete rows, with the effect of excluding them from training.</w:t>
      </w:r>
    </w:p>
    <w:tbl>
      <w:tblPr>
        <w:tblStyle w:val="Table"/>
        <w:tblW w:type="pct" w:w="5000"/>
        <w:jc w:val="center"/>
        <w:tblLook w:firstRow="1" w:lastRow="0" w:firstColumn="0" w:lastColumn="0" w:noHBand="0" w:noVBand="0" w:val="0020"/>
        <w:tblCaption w:val="Table A16. Distribution of the 841 output-token-capped (incomplete) rows versus the 9,159 complete rows, with the effect of excluding them from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Incomplete (841)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Complete (9,159)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 / 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118.8 / 122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Aspects per review (1 / 2 / 3 share)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0.43 / 0.51 / 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0.29 / 0.38 / 0.33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Sentiment share (positive / neutral / 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0.36 / 0.30 / 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 / 0.34 / 0.33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Held-out detection micro-F1 (3 seeds, excluded vs full)</w:t>
            </w:r>
          </w:p>
        </w:tc>
        <w:tc>
          <w:tcPr>
            <w:gridSpan w:val="2"/>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complete-only 0.264 ± 0.007 versus full 0.275 ± 0.003</w:t>
            </w:r>
          </w:p>
        </w:tc>
      </w:tr>
    </w:tbl>
    <w:bookmarkEnd w:id="97"/>
    <w:bookmarkStart w:id="98" w:name="a.19-generator-family-robustness"/>
    <w:p>
      <w:pPr>
        <w:pStyle w:val="Heading3"/>
        <w:keepNext/>
        <w:keepLines/>
        <w:widowControl w:val="1"/>
      </w:pPr>
      <w:r>
        <w:t xml:space="preserve">A.19 Generator-Family Robustness</w:t>
      </w:r>
    </w:p>
    <w:p>
      <w:pPr>
        <w:pStyle w:val="FirstParagraph"/>
        <w:jc w:val="both"/>
        <w:keepNext w:val="0"/>
        <w:keepLines w:val="0"/>
        <w:widowControl w:val="1"/>
      </w:pPr>
      <w:r>
        <w:t xml:space="preserve">To check that the generate-audit-filter pipeline is not specific to the GPT family that produced the corpus (Section 5.7), we regenerated the same 150 label-conditioned prompts with four generator families spanning four providers, accessed through a common OpenRouter interface, and scored every generation with the identical</w:t>
      </w:r>
      <w:r>
        <w:t xml:space="preserve"> </w:t>
      </w:r>
      <w:r>
        <w:rPr>
          <w:rStyle w:val="VerbatimChar"/>
        </w:rPr>
        <w:t xml:space="preserve">gpt-5.2</w:t>
      </w:r>
      <w:r>
        <w:t xml:space="preserve"> </w:t>
      </w:r>
      <w:r>
        <w:t xml:space="preserve">label-fidelity audit used in Section 5.6. The comparison is construct-matched: one auditor, one prompt set, one scoring pass. All four families yield high and comparable aspect support (0.921 to 0.968) and per-aspect sentiment match (0.759 to 0.904), with the two non-GPT families matching or exceeding the same-family</w:t>
      </w:r>
      <w:r>
        <w:t xml:space="preserve"> </w:t>
      </w:r>
      <w:r>
        <w:rPr>
          <w:rStyle w:val="VerbatimChar"/>
        </w:rPr>
        <w:t xml:space="preserve">gpt-5-nano</w:t>
      </w:r>
      <w:r>
        <w:t xml:space="preserve"> </w:t>
      </w:r>
      <w:r>
        <w:t xml:space="preserve">generator. Non-GPT generators therefore produce auditable, label-faithful data, and the audit signal is consistent across providers rather than tuned to one family. GLM-4.6 is a reasoning-first model whose default output is empty under a plain chat call; it was queried with explicit-reasoning disabled, which is why its usable aspect count is slightly lower.</w:t>
      </w:r>
    </w:p>
    <w:p>
      <w:pPr>
        <w:pStyle w:val="TableCaption"/>
        <w:spacing w:before="280" w:after="60" w:line="240" w:lineRule="auto"/>
        <w:jc w:val="center"/>
        <w:keepNext/>
        <w:keepLines/>
        <w:widowControl w:val="1"/>
      </w:pPr>
      <w:r>
        <w:rPr>
          <w:b/>
          <w:i/>
        </w:rPr>
        <w:t>Table A17.</w:t>
      </w:r>
      <w:r>
        <w:rPr>
          <w:b w:val="0"/>
          <w:i/>
        </w:rPr>
        <w:t xml:space="preserve"> </w:t>
      </w:r>
      <w:r>
        <w:rPr>
          <w:b w:val="0"/>
          <w:i/>
        </w:rPr>
        <w:t>Label-fidelity audit (gpt-5.2) of the same 150 label-conditioned prompts regenerated by four generator families across four providers. Rates are per declared aspect; the comparison is read across families under one fixed auditor and prompt set.</w:t>
      </w:r>
    </w:p>
    <w:tbl>
      <w:tblPr>
        <w:tblStyle w:val="Table"/>
        <w:tblW w:type="pct" w:w="5000"/>
        <w:jc w:val="center"/>
        <w:tblLook w:firstRow="1" w:lastRow="0" w:firstColumn="0" w:lastColumn="0" w:noHBand="0" w:noVBand="0" w:val="0020"/>
        <w:tblCaption w:val="Table A17. Label-fidelity audit (gpt-5.2) of the same 150 label-conditioned prompts regenerated by four generator families across four providers. Rates are per declared aspect; the comparison is read across families under one fixed auditor and prompt se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Provider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Generator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gpt-5-nano</w:t>
            </w:r>
            <w:r>
              <w:rPr>
                <w:rFonts w:ascii="Georgia" w:hAnsi="Georgia"/>
                <w:sz w:val="19"/>
              </w:rPr>
              <w:t xml:space="preserve"> </w:t>
            </w:r>
            <w:r>
              <w:rPr>
                <w:rFonts w:ascii="Georgia" w:hAnsi="Georgia"/>
                <w:sz w:val="19"/>
              </w:rPr>
              <w:t xml:space="preserve">(corpus generator)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0.7587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Google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Zhipu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glm-4.6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0.9044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Meta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0.9206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0.7873</w:t>
            </w:r>
          </w:p>
        </w:tc>
      </w:tr>
    </w:tbl>
    <w:bookmarkEnd w:id="98"/>
    <w:bookmarkStart w:id="99" w:name="a.20-multi-provider-prompted-baseline"/>
    <w:p>
      <w:pPr>
        <w:pStyle w:val="Heading3"/>
        <w:keepNext/>
        <w:keepLines/>
        <w:widowControl w:val="1"/>
      </w:pPr>
      <w:r>
        <w:t xml:space="preserve">A.20 Multi-Provider Prompted Baseline</w:t>
      </w:r>
    </w:p>
    <w:p>
      <w:pPr>
        <w:pStyle w:val="FirstParagraph"/>
        <w:jc w:val="both"/>
        <w:keepNext w:val="0"/>
        <w:keepLines w:val="0"/>
        <w:widowControl w:val="1"/>
      </w:pPr>
      <w:r>
        <w:t xml:space="preserve">To check that the prompted inference baseline (Section 5.3) is not confined to one provider or one prompting family, we ran the identical zero-shot-glossary ABSA contract across four families spanning four providers on the same 200-review subset of the held-out synthetic test split (seed 42, 20 aspects), scored in one construct-matched pass with the same per-aspect detection and sentiment metrics. All four families fall in the same narrow band and sit below the strongest trained encoders (BERT detection micro-F1 around 0.28), consistent with the paper's reading that zero-shot prompting is an informative but non-dominant baseline regardless of provider. The OpenAI score on this subset (</w:t>
      </w:r>
      <w:r>
        <w:rPr>
          <w:rStyle w:val="VerbatimChar"/>
        </w:rPr>
        <w:t xml:space="preserve">gpt-5.4</w:t>
      </w:r>
      <w:r>
        <w:t xml:space="preserve">, 0.234) is in the same band as the full-test</w:t>
      </w:r>
      <w:r>
        <w:t xml:space="preserve"> </w:t>
      </w:r>
      <w:r>
        <w:rPr>
          <w:rStyle w:val="VerbatimChar"/>
        </w:rPr>
        <w:t xml:space="preserve">gpt-5.2</w:t>
      </w:r>
      <w:r>
        <w:t xml:space="preserve"> </w:t>
      </w:r>
      <w:r>
        <w:t xml:space="preserve">zero-shot result of 0.252 in Table 7; these are two different OpenAI models, compared only for band placement.</w:t>
      </w:r>
    </w:p>
    <w:p>
      <w:pPr>
        <w:pStyle w:val="TableCaption"/>
        <w:spacing w:before="280" w:after="60" w:line="240" w:lineRule="auto"/>
        <w:jc w:val="center"/>
        <w:keepNext/>
        <w:keepLines/>
        <w:widowControl w:val="1"/>
      </w:pPr>
      <w:r>
        <w:rPr>
          <w:b/>
          <w:i/>
        </w:rPr>
        <w:t>Table A18.</w:t>
      </w:r>
      <w:r>
        <w:rPr>
          <w:b w:val="0"/>
          <w:i/>
        </w:rPr>
        <w:t xml:space="preserve"> </w:t>
      </w:r>
      <w:r>
        <w:rPr>
          <w:b w:val="0"/>
          <w:i/>
        </w:rPr>
        <w:t>Multi-provider zero-shot-glossary ABSA baseline on a shared 200-review subset of the held-out synthetic test split (seed 42, 20 aspects), co-computed in one pass. Detection micro-F1 and sentiment accuracy on matched aspects.</w:t>
      </w:r>
    </w:p>
    <w:tbl>
      <w:tblPr>
        <w:tblStyle w:val="Table"/>
        <w:tblW w:type="pct" w:w="5000"/>
        <w:jc w:val="center"/>
        <w:tblLook w:firstRow="1" w:lastRow="0" w:firstColumn="0" w:lastColumn="0" w:noHBand="0" w:noVBand="0" w:val="0020"/>
        <w:tblCaption w:val="Table A18. Multi-provider zero-shot-glossary ABSA baseline on a shared 200-review subset of the held-out synthetic test split (seed 42, 20 aspects), co-computed in one pass. Detection micro-F1 and sentiment accuracy on matched aspec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Provider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Detection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accuracy (matched)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197/200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Google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0.6294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199/200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Zhipu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glm-4.6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193/200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Meta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0.2655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0.6590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200/200</w:t>
            </w:r>
          </w:p>
        </w:tc>
      </w:tr>
    </w:tbl>
    <w:bookmarkEnd w:id="99"/>
    <w:bookmarkStart w:id="100" w:name="Xe3f8a640c6f6478bde716a41be3b2521644ff46"/>
    <w:p>
      <w:pPr>
        <w:pStyle w:val="Heading3"/>
        <w:keepNext/>
        <w:keepLines/>
        <w:widowControl w:val="1"/>
      </w:pPr>
      <w:r>
        <w:t xml:space="preserve">A.21 Per-Corpus Audit-versus-Human Agreement</w:t>
      </w:r>
    </w:p>
    <w:p>
      <w:pPr>
        <w:pStyle w:val="FirstParagraph"/>
        <w:jc w:val="both"/>
        <w:keepNext w:val="0"/>
        <w:keepLines w:val="0"/>
        <w:widowControl w:val="1"/>
      </w:pPr>
      <w:r>
        <w:t xml:space="preserve">The audit-versus-human agreement of Section 5.7 is reported here per corpus, for both the cost-matched auditor that drives the filter and the fully independent auditor. It is computed over the same 2,482 aspect-level decisions from 1,200 perturbation-controlled variants (faithful / polarity-flipped / aspect-injected). Each decision is a binary faithful-versus-unfaithful judgment (does the auditor accept an aspect that is genuinely faithful, and reject a flipped or injected one), so the metric is invariant to the two corpora's different aspect label sets and is directly comparable across them. Both auditors agree more with humans on EduRABSA than on Herath; this tracks item length (EduRABSA passages median 38 words versus Herath sentences median 20), and the independent auditor equals or exceeds the same-family one on both corpora, reinforcing that the audit signal is human-grounded rather than a same-family artifact.</w:t>
      </w:r>
    </w:p>
    <w:p>
      <w:pPr>
        <w:pStyle w:val="TableCaption"/>
        <w:spacing w:before="280" w:after="60" w:line="240" w:lineRule="auto"/>
        <w:jc w:val="center"/>
        <w:keepNext/>
        <w:keepLines/>
        <w:widowControl w:val="1"/>
      </w:pPr>
      <w:r>
        <w:rPr>
          <w:b/>
          <w:i/>
        </w:rPr>
        <w:t>Table A19.</w:t>
      </w:r>
      <w:r>
        <w:rPr>
          <w:b w:val="0"/>
          <w:i/>
        </w:rPr>
        <w:t xml:space="preserve"> </w:t>
      </w:r>
      <w:r>
        <w:rPr>
          <w:b w:val="0"/>
          <w:i/>
        </w:rPr>
        <w:t>Per-corpus audit-versus-human agreement over 2,482 aspect-level faithfulness decisions. The cost-matched auditor drives the training-data filter; the independent auditor is the anti-circularity cross-check. Each decision is binary faithful-versus-unfaithful, so the metric does not depend on the two corpora's different aspect label sets.</w:t>
      </w:r>
    </w:p>
    <w:tbl>
      <w:tblPr>
        <w:tblStyle w:val="Table"/>
        <w:tblW w:type="pct" w:w="5000"/>
        <w:jc w:val="center"/>
        <w:tblLook w:firstRow="1" w:lastRow="0" w:firstColumn="0" w:lastColumn="0" w:noHBand="0" w:noVBand="0" w:val="0020"/>
        <w:tblCaption w:val="Table A19. Per-corpus audit-versus-human agreement over 2,482 aspect-level faithfulness decisions. The cost-matched auditor drives the training-data filter; the independent auditor is the anti-circularity cross-check. Each decision is binary faithful-versus-unfaithful, so the metric does not depend on the two corpora's different aspect label s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Auditor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Corpus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Decisions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Cohen's kappa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Precision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gpt-4.1-mini</w:t>
            </w:r>
            <w:r>
              <w:rPr>
                <w:rFonts w:ascii="Georgia" w:hAnsi="Georgia"/>
                <w:sz w:val="19"/>
              </w:rPr>
              <w:t xml:space="preserve"> </w:t>
            </w:r>
            <w:r>
              <w:rPr>
                <w:rFonts w:ascii="Georgia" w:hAnsi="Georgia"/>
                <w:sz w:val="19"/>
              </w:rPr>
              <w:t xml:space="preserve">(cost-matched)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gpt-4.1-mini</w:t>
            </w:r>
            <w:r>
              <w:rPr>
                <w:rFonts w:ascii="Georgia" w:hAnsi="Georgia"/>
                <w:sz w:val="19"/>
              </w:rPr>
              <w:t xml:space="preserve"> </w:t>
            </w:r>
            <w:r>
              <w:rPr>
                <w:rFonts w:ascii="Georgia" w:hAnsi="Georgia"/>
                <w:sz w:val="19"/>
              </w:rPr>
              <w:t xml:space="preserve">(cost-matched)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gpt-4.1-mini</w:t>
            </w:r>
            <w:r>
              <w:rPr>
                <w:rFonts w:ascii="Georgia" w:hAnsi="Georgia"/>
                <w:sz w:val="19"/>
              </w:rPr>
              <w:t xml:space="preserve"> </w:t>
            </w:r>
            <w:r>
              <w:rPr>
                <w:rFonts w:ascii="Georgia" w:hAnsi="Georgia"/>
                <w:sz w:val="19"/>
              </w:rPr>
              <w:t xml:space="preserve">(cost-matched)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2,482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r>
              <w:rPr>
                <w:rFonts w:ascii="Georgia" w:hAnsi="Georgia"/>
                <w:sz w:val="19"/>
              </w:rPr>
              <w:t xml:space="preserve"> </w:t>
            </w:r>
            <w:r>
              <w:rPr>
                <w:rFonts w:ascii="Georgia" w:hAnsi="Georgia"/>
                <w:sz w:val="19"/>
              </w:rPr>
              <w:t xml:space="preserve">(independent)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r>
              <w:rPr>
                <w:rFonts w:ascii="Georgia" w:hAnsi="Georgia"/>
                <w:sz w:val="19"/>
              </w:rPr>
              <w:t xml:space="preserve"> </w:t>
            </w:r>
            <w:r>
              <w:rPr>
                <w:rFonts w:ascii="Georgia" w:hAnsi="Georgia"/>
                <w:sz w:val="19"/>
              </w:rPr>
              <w:t xml:space="preserve">(independent)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r>
              <w:rPr>
                <w:rFonts w:ascii="Georgia" w:hAnsi="Georgia"/>
                <w:sz w:val="19"/>
              </w:rPr>
              <w:t xml:space="preserve"> </w:t>
            </w:r>
            <w:r>
              <w:rPr>
                <w:rFonts w:ascii="Georgia" w:hAnsi="Georgia"/>
                <w:sz w:val="19"/>
              </w:rPr>
              <w:t xml:space="preserve">(independent)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Both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2,482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0.89</w:t>
            </w:r>
          </w:p>
        </w:tc>
      </w:tr>
    </w:tbl>
    <w:bookmarkEnd w:id="100"/>
    <w:bookmarkEnd w:id="101"/>
    <w:bookmarkStart w:id="142"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102">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103">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104">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105">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106">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107">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8">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9">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10">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11">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12">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13">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14">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15">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16">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17">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8">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9">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20">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21">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22">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23">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24">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25">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26">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27">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8">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9">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30">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31">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32">
        <w:r>
          <w:rPr>
            <w:rStyle w:val="Hyperlink"/>
          </w:rPr>
          <w:t xml:space="preserve">Sentiment Analysis in the Era of Large Language Models: A Reality Check</w:t>
        </w:r>
      </w:hyperlink>
      <w:r>
        <w:t xml:space="preserve">. Findings of NAACL 2024, pages 3892-3910.</w:t>
      </w:r>
    </w:p>
    <w:p>
      <w:pPr>
        <w:pStyle w:val="Compact"/>
        <w:numPr>
          <w:ilvl w:val="0"/>
          <w:numId w:val="1003"/>
        </w:numPr>
        <w:ind w:left="360" w:hanging="259"/>
        <w:jc w:val="both"/>
        <w:keepNext w:val="0"/>
        <w:keepLines w:val="0"/>
        <w:widowControl w:val="1"/>
      </w:pPr>
      <w:r>
        <w:t xml:space="preserve">Hongling Xu, Yice Zhang, Qianlong Wang, and Ruifeng Xu. 2025.</w:t>
      </w:r>
      <w:r>
        <w:t xml:space="preserve"> </w:t>
      </w:r>
      <w:hyperlink r:id="rId133">
        <w:r>
          <w:rPr>
            <w:rStyle w:val="Hyperlink"/>
          </w:rPr>
          <w:t xml:space="preserve">DS2-ABSA: Dual-Stream Data Synthesis with Label Refinement for Few-Shot Aspect-Based Sentiment Analysis</w:t>
        </w:r>
      </w:hyperlink>
      <w:r>
        <w:t xml:space="preserve">. Proceedings of ACL 2025.</w:t>
      </w:r>
    </w:p>
    <w:p>
      <w:pPr>
        <w:pStyle w:val="Compact"/>
        <w:numPr>
          <w:ilvl w:val="0"/>
          <w:numId w:val="1003"/>
        </w:numPr>
        <w:ind w:left="360" w:hanging="259"/>
        <w:jc w:val="both"/>
        <w:keepNext w:val="0"/>
        <w:keepLines w:val="0"/>
        <w:widowControl w:val="1"/>
      </w:pPr>
      <w:r>
        <w:t xml:space="preserve">Nils Constantin Hellwig, Jakob Fehle, and Christian Wolff. 2025.</w:t>
      </w:r>
      <w:r>
        <w:t xml:space="preserve"> </w:t>
      </w:r>
      <w:hyperlink r:id="rId134">
        <w:r>
          <w:rPr>
            <w:rStyle w:val="Hyperlink"/>
          </w:rPr>
          <w:t xml:space="preserve">Exploring large language models for the generation of synthetic training samples for aspect-based sentiment analysis in low resource settings</w:t>
        </w:r>
      </w:hyperlink>
      <w:r>
        <w:t xml:space="preserve">.</w:t>
      </w:r>
      <w:r>
        <w:t xml:space="preserve"> </w:t>
      </w:r>
      <w:r>
        <w:rPr>
          <w:i/>
          <w:iCs/>
        </w:rPr>
        <w:t xml:space="preserve">Expert Systems with Applications</w:t>
      </w:r>
      <w:r>
        <w:t xml:space="preserve">, 261, 125514.</w:t>
      </w:r>
    </w:p>
    <w:p>
      <w:pPr>
        <w:pStyle w:val="Compact"/>
        <w:numPr>
          <w:ilvl w:val="0"/>
          <w:numId w:val="1003"/>
        </w:numPr>
        <w:ind w:left="360" w:hanging="259"/>
        <w:jc w:val="both"/>
        <w:keepNext w:val="0"/>
        <w:keepLines w:val="0"/>
        <w:widowControl w:val="1"/>
      </w:pPr>
      <w:r>
        <w:t xml:space="preserve">Lin Long, Rui Wang, Ruixuan Xiao, Junbo Zhao, Xiao Ding, Gang Chen, and Haobo Wang. 2024.</w:t>
      </w:r>
      <w:r>
        <w:t xml:space="preserve"> </w:t>
      </w:r>
      <w:hyperlink r:id="rId135">
        <w:r>
          <w:rPr>
            <w:rStyle w:val="Hyperlink"/>
          </w:rPr>
          <w:t xml:space="preserve">On LLMs-Driven Synthetic Data Generation, Curation, and Evaluation: A Survey</w:t>
        </w:r>
      </w:hyperlink>
      <w:r>
        <w:t xml:space="preserve">. Findings of ACL 2024.</w:t>
      </w:r>
    </w:p>
    <w:p>
      <w:pPr>
        <w:pStyle w:val="Compact"/>
        <w:numPr>
          <w:ilvl w:val="0"/>
          <w:numId w:val="1003"/>
        </w:numPr>
        <w:ind w:left="360" w:hanging="259"/>
        <w:jc w:val="both"/>
        <w:keepNext w:val="0"/>
        <w:keepLines w:val="0"/>
        <w:widowControl w:val="1"/>
      </w:pPr>
      <w:r>
        <w:t xml:space="preserve">Fabrizio Gilardi, Meysam Alizadeh, and Maël Kubli. 2023.</w:t>
      </w:r>
      <w:r>
        <w:t xml:space="preserve"> </w:t>
      </w:r>
      <w:hyperlink r:id="rId136">
        <w:r>
          <w:rPr>
            <w:rStyle w:val="Hyperlink"/>
          </w:rPr>
          <w:t xml:space="preserve">ChatGPT outperforms crowd workers for text-annotation tasks</w:t>
        </w:r>
      </w:hyperlink>
      <w:r>
        <w:t xml:space="preserve">.</w:t>
      </w:r>
      <w:r>
        <w:t xml:space="preserve"> </w:t>
      </w:r>
      <w:r>
        <w:rPr>
          <w:i/>
          <w:iCs/>
        </w:rPr>
        <w:t xml:space="preserve">Proceedings of the National Academy of Sciences</w:t>
      </w:r>
      <w:r>
        <w:t xml:space="preserve">, 120(30), e2305016120.</w:t>
      </w:r>
    </w:p>
    <w:p>
      <w:pPr>
        <w:pStyle w:val="Compact"/>
        <w:numPr>
          <w:ilvl w:val="0"/>
          <w:numId w:val="1003"/>
        </w:numPr>
        <w:ind w:left="360" w:hanging="259"/>
        <w:jc w:val="both"/>
        <w:keepNext w:val="0"/>
        <w:keepLines w:val="0"/>
        <w:widowControl w:val="1"/>
      </w:pPr>
      <w:r>
        <w:t xml:space="preserve">Jiawei Gu, Xuhui Jiang, Zhichao Shi, Hexiang Tan, Xuehao Zhai, Chengjin Xu, Wei Li, Yinghan Shen, Shengjie Ma, Honghao Liu, Saizhuo Wang, Kun Zhang, Yuanzhuo Wang, and Jian Guo. 2025.</w:t>
      </w:r>
      <w:r>
        <w:t xml:space="preserve"> </w:t>
      </w:r>
      <w:hyperlink r:id="rId137">
        <w:r>
          <w:rPr>
            <w:rStyle w:val="Hyperlink"/>
          </w:rPr>
          <w:t xml:space="preserve">A Survey on LLM-as-a-Judge</w:t>
        </w:r>
      </w:hyperlink>
      <w:r>
        <w:t xml:space="preserve">. arXiv:2411.15594.</w:t>
      </w:r>
    </w:p>
    <w:p>
      <w:pPr>
        <w:pStyle w:val="Compact"/>
        <w:numPr>
          <w:ilvl w:val="0"/>
          <w:numId w:val="1003"/>
        </w:numPr>
        <w:ind w:left="360" w:hanging="259"/>
        <w:jc w:val="both"/>
        <w:keepNext w:val="0"/>
        <w:keepLines w:val="0"/>
        <w:widowControl w:val="1"/>
      </w:pPr>
      <w:r>
        <w:t xml:space="preserve">Liqin Ye, Agam Shah, Chao Zhang, and Sudheer Chava. 2025.</w:t>
      </w:r>
      <w:r>
        <w:t xml:space="preserve"> </w:t>
      </w:r>
      <w:hyperlink r:id="rId138">
        <w:r>
          <w:rPr>
            <w:rStyle w:val="Hyperlink"/>
          </w:rPr>
          <w:t xml:space="preserve">Calibrating Pre-trained Language Classifiers on LLM-generated Noisy Labels via Iterative Refinement</w:t>
        </w:r>
      </w:hyperlink>
      <w:r>
        <w:t xml:space="preserve">. Proceedings of KDD 2025.</w:t>
      </w:r>
    </w:p>
    <w:p>
      <w:pPr>
        <w:pStyle w:val="Compact"/>
        <w:numPr>
          <w:ilvl w:val="0"/>
          <w:numId w:val="1003"/>
        </w:numPr>
        <w:ind w:left="360" w:hanging="259"/>
        <w:jc w:val="both"/>
        <w:keepNext w:val="0"/>
        <w:keepLines w:val="0"/>
        <w:widowControl w:val="1"/>
      </w:pPr>
      <w:r>
        <w:t xml:space="preserve">Wed Akeel Awadh, Rosnafisah Bte Sulaiman, and Moamin A. Mahmoud. 2025.</w:t>
      </w:r>
      <w:r>
        <w:t xml:space="preserve"> </w:t>
      </w:r>
      <w:hyperlink r:id="rId139">
        <w:r>
          <w:rPr>
            <w:rStyle w:val="Hyperlink"/>
          </w:rPr>
          <w:t xml:space="preserve">Aspect-based sentiment analysis in MOOCs: a systematic literature review introducing the MASC-MEF framework</w:t>
        </w:r>
      </w:hyperlink>
      <w:r>
        <w:t xml:space="preserve">.</w:t>
      </w:r>
      <w:r>
        <w:t xml:space="preserve"> </w:t>
      </w:r>
      <w:r>
        <w:rPr>
          <w:i/>
          <w:iCs/>
        </w:rPr>
        <w:t xml:space="preserve">Journal of King Saud University Computer and Information Sciences</w:t>
      </w:r>
      <w:r>
        <w:t xml:space="preserve">.</w:t>
      </w:r>
    </w:p>
    <w:p>
      <w:pPr>
        <w:pStyle w:val="Compact"/>
        <w:numPr>
          <w:ilvl w:val="0"/>
          <w:numId w:val="1003"/>
        </w:numPr>
        <w:ind w:left="360" w:hanging="259"/>
        <w:jc w:val="both"/>
        <w:keepNext w:val="0"/>
        <w:keepLines w:val="0"/>
        <w:widowControl w:val="1"/>
      </w:pPr>
      <w:r>
        <w:t xml:space="preserve">Junjie Chen, Xuyang Liu, Subin Huang, Linfeng Zhang, and Hang Yu. 2025.</w:t>
      </w:r>
      <w:r>
        <w:t xml:space="preserve"> </w:t>
      </w:r>
      <w:hyperlink r:id="rId140">
        <w:r>
          <w:rPr>
            <w:rStyle w:val="Hyperlink"/>
          </w:rPr>
          <w:t xml:space="preserve">Seeing Sarcasm Through Different Eyes: Analyzing Multimodal Sarcasm Perception in Large Vision-Language Models</w:t>
        </w:r>
      </w:hyperlink>
      <w:r>
        <w:t xml:space="preserve">.</w:t>
      </w:r>
      <w:r>
        <w:t xml:space="preserve"> </w:t>
      </w:r>
      <w:r>
        <w:rPr>
          <w:i/>
          <w:iCs/>
        </w:rPr>
        <w:t xml:space="preserve">IEEE Transactions on Computational Social Systems</w:t>
      </w:r>
      <w:r>
        <w:t xml:space="preserve">.</w:t>
      </w:r>
    </w:p>
    <w:p>
      <w:pPr>
        <w:pStyle w:val="Compact"/>
        <w:numPr>
          <w:ilvl w:val="0"/>
          <w:numId w:val="1003"/>
        </w:numPr>
        <w:ind w:left="360" w:hanging="259"/>
        <w:jc w:val="both"/>
        <w:keepNext w:val="0"/>
        <w:keepLines w:val="0"/>
        <w:widowControl w:val="1"/>
      </w:pPr>
      <w:r>
        <w:t xml:space="preserve">Qiubo Ma, Hang Yu, Yuan Shan, and Pinzhuo Tian. 2025.</w:t>
      </w:r>
      <w:r>
        <w:t xml:space="preserve"> </w:t>
      </w:r>
      <w:hyperlink r:id="rId141">
        <w:r>
          <w:rPr>
            <w:rStyle w:val="Hyperlink"/>
          </w:rPr>
          <w:t xml:space="preserve">Exploiting the Relationship within the Unlabelled Samples by Set Matching for Generalized Category Discovery</w:t>
        </w:r>
      </w:hyperlink>
      <w:r>
        <w:t xml:space="preserve">. ICASSP 2025, IEEE International Conference on Acoustics, Speech and Signal Processing.</w:t>
      </w:r>
    </w:p>
    <w:bookmarkEnd w:id="142"/>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8" Type="http://schemas.openxmlformats.org/officeDocument/2006/relationships/image" Target="media/rId28.png"/><Relationship Id="rId78" Type="http://schemas.openxmlformats.org/officeDocument/2006/relationships/image" Target="media/rId78.png"/><Relationship Id="rId84" Type="http://schemas.openxmlformats.org/officeDocument/2006/relationships/image" Target="media/rId84.png"/><Relationship Id="rId87" Type="http://schemas.openxmlformats.org/officeDocument/2006/relationships/image" Target="media/rId87.png"/><Relationship Id="rId92" Type="http://schemas.openxmlformats.org/officeDocument/2006/relationships/image" Target="media/rId92.png"/><Relationship Id="rId33" Type="http://schemas.openxmlformats.org/officeDocument/2006/relationships/image" Target="media/rId33.png"/><Relationship Id="rId36" Type="http://schemas.openxmlformats.org/officeDocument/2006/relationships/image" Target="media/rId36.png"/><Relationship Id="rId42" Type="http://schemas.openxmlformats.org/officeDocument/2006/relationships/image" Target="media/rId42.png"/><Relationship Id="rId49" Type="http://schemas.openxmlformats.org/officeDocument/2006/relationships/image" Target="media/rId49.png"/><Relationship Id="rId60" Type="http://schemas.openxmlformats.org/officeDocument/2006/relationships/image" Target="media/rId60.png"/><Relationship Id="rId65" Type="http://schemas.openxmlformats.org/officeDocument/2006/relationships/image" Target="media/rId65.png"/><Relationship Id="rId70" Type="http://schemas.openxmlformats.org/officeDocument/2006/relationships/image" Target="media/rId70.png"/><Relationship Id="rId73" Type="http://schemas.openxmlformats.org/officeDocument/2006/relationships/image" Target="media/rId73.png"/><Relationship Id="rId115" Type="http://schemas.openxmlformats.org/officeDocument/2006/relationships/hyperlink" Target="https://aclanthology.org/2021.eacl-main.20/" TargetMode="External"/><Relationship Id="rId112" Type="http://schemas.openxmlformats.org/officeDocument/2006/relationships/hyperlink" Target="https://aclanthology.org/2022.lrec-1.219/" TargetMode="External"/><Relationship Id="rId121" Type="http://schemas.openxmlformats.org/officeDocument/2006/relationships/hyperlink" Target="https://aclanthology.org/2024.lrec-main.879/" TargetMode="External"/><Relationship Id="rId108" Type="http://schemas.openxmlformats.org/officeDocument/2006/relationships/hyperlink" Target="https://aclanthology.org/C16-1233/" TargetMode="External"/><Relationship Id="rId109" Type="http://schemas.openxmlformats.org/officeDocument/2006/relationships/hyperlink" Target="https://aclanthology.org/L18-1425/" TargetMode="External"/><Relationship Id="rId128" Type="http://schemas.openxmlformats.org/officeDocument/2006/relationships/hyperlink" Target="https://arxiv.org/abs/2202.04538" TargetMode="External"/><Relationship Id="rId137" Type="http://schemas.openxmlformats.org/officeDocument/2006/relationships/hyperlink" Target="https://arxiv.org/abs/2411.15594" TargetMode="External"/><Relationship Id="rId138" Type="http://schemas.openxmlformats.org/officeDocument/2006/relationships/hyperlink" Target="https://arxiv.org/abs/2505.19675" TargetMode="External"/><Relationship Id="rId113" Type="http://schemas.openxmlformats.org/officeDocument/2006/relationships/hyperlink" Target="https://arxiv.org/abs/2508.17008" TargetMode="External"/><Relationship Id="rId139" Type="http://schemas.openxmlformats.org/officeDocument/2006/relationships/hyperlink" Target="https://doi.org/10.1007/s44443-025-00018-1" TargetMode="External"/><Relationship Id="rId126" Type="http://schemas.openxmlformats.org/officeDocument/2006/relationships/hyperlink" Target="https://doi.org/10.1016/j.compedu.2020.103965" TargetMode="External"/><Relationship Id="rId134" Type="http://schemas.openxmlformats.org/officeDocument/2006/relationships/hyperlink" Target="https://doi.org/10.1016/j.eswa.2024.125514" TargetMode="External"/><Relationship Id="rId119" Type="http://schemas.openxmlformats.org/officeDocument/2006/relationships/hyperlink" Target="https://doi.org/10.1016/j.nlp.2022.100003" TargetMode="External"/><Relationship Id="rId118" Type="http://schemas.openxmlformats.org/officeDocument/2006/relationships/hyperlink" Target="https://doi.org/10.1016/j.stueduc.2021.100979" TargetMode="External"/><Relationship Id="rId120" Type="http://schemas.openxmlformats.org/officeDocument/2006/relationships/hyperlink" Target="https://doi.org/10.1016/j.stueduc.2024.101406" TargetMode="External"/><Relationship Id="rId136" Type="http://schemas.openxmlformats.org/officeDocument/2006/relationships/hyperlink" Target="https://doi.org/10.1073/pnas.2305016120" TargetMode="External"/><Relationship Id="rId123" Type="http://schemas.openxmlformats.org/officeDocument/2006/relationships/hyperlink" Target="https://doi.org/10.1080/02602938.2018.1463354" TargetMode="External"/><Relationship Id="rId124" Type="http://schemas.openxmlformats.org/officeDocument/2006/relationships/hyperlink" Target="https://doi.org/10.1080/07294360.2019.1657807" TargetMode="External"/><Relationship Id="rId110" Type="http://schemas.openxmlformats.org/officeDocument/2006/relationships/hyperlink" Target="https://doi.org/10.1108/EL-06-2019-0140" TargetMode="External"/><Relationship Id="rId111" Type="http://schemas.openxmlformats.org/officeDocument/2006/relationships/hyperlink" Target="https://doi.org/10.1109/ACCESS.2022.3177752" TargetMode="External"/><Relationship Id="rId141" Type="http://schemas.openxmlformats.org/officeDocument/2006/relationships/hyperlink" Target="https://doi.org/10.1109/ICASSP49660.2025.10889522" TargetMode="External"/><Relationship Id="rId140" Type="http://schemas.openxmlformats.org/officeDocument/2006/relationships/hyperlink" Target="https://doi.org/10.1109/TCSS.2025.3608484" TargetMode="External"/><Relationship Id="rId125" Type="http://schemas.openxmlformats.org/officeDocument/2006/relationships/hyperlink" Target="https://doi.org/10.1186/s41039-018-0073-0" TargetMode="External"/><Relationship Id="rId116" Type="http://schemas.openxmlformats.org/officeDocument/2006/relationships/hyperlink" Target="https://doi.org/10.18653/v1/2021.acl-long.188" TargetMode="External"/><Relationship Id="rId117" Type="http://schemas.openxmlformats.org/officeDocument/2006/relationships/hyperlink" Target="https://doi.org/10.18653/v1/2021.emnlp-main.361" TargetMode="External"/><Relationship Id="rId114" Type="http://schemas.openxmlformats.org/officeDocument/2006/relationships/hyperlink" Target="https://doi.org/10.18653/v1/2021.emnlp-main.362" TargetMode="External"/><Relationship Id="rId127" Type="http://schemas.openxmlformats.org/officeDocument/2006/relationships/hyperlink" Target="https://doi.org/10.18653/v1/2021.findings-acl.84" TargetMode="External"/><Relationship Id="rId129" Type="http://schemas.openxmlformats.org/officeDocument/2006/relationships/hyperlink" Target="https://doi.org/10.18653/v1/2023.acl-long.754" TargetMode="External"/><Relationship Id="rId107" Type="http://schemas.openxmlformats.org/officeDocument/2006/relationships/hyperlink" Target="https://doi.org/10.18653/v1/2023.emnlp-main.647" TargetMode="External"/><Relationship Id="rId106" Type="http://schemas.openxmlformats.org/officeDocument/2006/relationships/hyperlink" Target="https://doi.org/10.18653/v1/2023.findings-acl.612" TargetMode="External"/><Relationship Id="rId130" Type="http://schemas.openxmlformats.org/officeDocument/2006/relationships/hyperlink" Target="https://doi.org/10.18653/v1/2023.wassa-1.3" TargetMode="External"/><Relationship Id="rId131" Type="http://schemas.openxmlformats.org/officeDocument/2006/relationships/hyperlink" Target="https://doi.org/10.18653/v1/2024.eacl-long.167" TargetMode="External"/><Relationship Id="rId135" Type="http://schemas.openxmlformats.org/officeDocument/2006/relationships/hyperlink" Target="https://doi.org/10.18653/v1/2024.findings-acl.658" TargetMode="External"/><Relationship Id="rId132" Type="http://schemas.openxmlformats.org/officeDocument/2006/relationships/hyperlink" Target="https://doi.org/10.18653/v1/2024.findings-naacl.246" TargetMode="External"/><Relationship Id="rId133" Type="http://schemas.openxmlformats.org/officeDocument/2006/relationships/hyperlink" Target="https://doi.org/10.18653/v1/2025.acl-long.752" TargetMode="External"/><Relationship Id="rId105" Type="http://schemas.openxmlformats.org/officeDocument/2006/relationships/hyperlink" Target="https://doi.org/10.18653/v1/N19-1423" TargetMode="External"/><Relationship Id="rId104" Type="http://schemas.openxmlformats.org/officeDocument/2006/relationships/hyperlink" Target="https://doi.org/10.18653/v1/S16-1002" TargetMode="External"/><Relationship Id="rId122" Type="http://schemas.openxmlformats.org/officeDocument/2006/relationships/hyperlink" Target="https://doi.org/10.3102/003465430298487" TargetMode="External"/><Relationship Id="rId103" Type="http://schemas.openxmlformats.org/officeDocument/2006/relationships/hyperlink" Target="https://doi.org/10.3115/v1/S14-2004" TargetMode="External"/><Relationship Id="rId102"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5" Type="http://schemas.openxmlformats.org/officeDocument/2006/relationships/hyperlink" Target="https://aclanthology.org/2021.eacl-main.20/" TargetMode="External"/><Relationship Id="rId112" Type="http://schemas.openxmlformats.org/officeDocument/2006/relationships/hyperlink" Target="https://aclanthology.org/2022.lrec-1.219/" TargetMode="External"/><Relationship Id="rId121" Type="http://schemas.openxmlformats.org/officeDocument/2006/relationships/hyperlink" Target="https://aclanthology.org/2024.lrec-main.879/" TargetMode="External"/><Relationship Id="rId108" Type="http://schemas.openxmlformats.org/officeDocument/2006/relationships/hyperlink" Target="https://aclanthology.org/C16-1233/" TargetMode="External"/><Relationship Id="rId109" Type="http://schemas.openxmlformats.org/officeDocument/2006/relationships/hyperlink" Target="https://aclanthology.org/L18-1425/" TargetMode="External"/><Relationship Id="rId128" Type="http://schemas.openxmlformats.org/officeDocument/2006/relationships/hyperlink" Target="https://arxiv.org/abs/2202.04538" TargetMode="External"/><Relationship Id="rId137" Type="http://schemas.openxmlformats.org/officeDocument/2006/relationships/hyperlink" Target="https://arxiv.org/abs/2411.15594" TargetMode="External"/><Relationship Id="rId138" Type="http://schemas.openxmlformats.org/officeDocument/2006/relationships/hyperlink" Target="https://arxiv.org/abs/2505.19675" TargetMode="External"/><Relationship Id="rId113" Type="http://schemas.openxmlformats.org/officeDocument/2006/relationships/hyperlink" Target="https://arxiv.org/abs/2508.17008" TargetMode="External"/><Relationship Id="rId139" Type="http://schemas.openxmlformats.org/officeDocument/2006/relationships/hyperlink" Target="https://doi.org/10.1007/s44443-025-00018-1" TargetMode="External"/><Relationship Id="rId126" Type="http://schemas.openxmlformats.org/officeDocument/2006/relationships/hyperlink" Target="https://doi.org/10.1016/j.compedu.2020.103965" TargetMode="External"/><Relationship Id="rId134" Type="http://schemas.openxmlformats.org/officeDocument/2006/relationships/hyperlink" Target="https://doi.org/10.1016/j.eswa.2024.125514" TargetMode="External"/><Relationship Id="rId119" Type="http://schemas.openxmlformats.org/officeDocument/2006/relationships/hyperlink" Target="https://doi.org/10.1016/j.nlp.2022.100003" TargetMode="External"/><Relationship Id="rId118" Type="http://schemas.openxmlformats.org/officeDocument/2006/relationships/hyperlink" Target="https://doi.org/10.1016/j.stueduc.2021.100979" TargetMode="External"/><Relationship Id="rId120" Type="http://schemas.openxmlformats.org/officeDocument/2006/relationships/hyperlink" Target="https://doi.org/10.1016/j.stueduc.2024.101406" TargetMode="External"/><Relationship Id="rId136" Type="http://schemas.openxmlformats.org/officeDocument/2006/relationships/hyperlink" Target="https://doi.org/10.1073/pnas.2305016120" TargetMode="External"/><Relationship Id="rId123" Type="http://schemas.openxmlformats.org/officeDocument/2006/relationships/hyperlink" Target="https://doi.org/10.1080/02602938.2018.1463354" TargetMode="External"/><Relationship Id="rId124" Type="http://schemas.openxmlformats.org/officeDocument/2006/relationships/hyperlink" Target="https://doi.org/10.1080/07294360.2019.1657807" TargetMode="External"/><Relationship Id="rId110" Type="http://schemas.openxmlformats.org/officeDocument/2006/relationships/hyperlink" Target="https://doi.org/10.1108/EL-06-2019-0140" TargetMode="External"/><Relationship Id="rId111" Type="http://schemas.openxmlformats.org/officeDocument/2006/relationships/hyperlink" Target="https://doi.org/10.1109/ACCESS.2022.3177752" TargetMode="External"/><Relationship Id="rId141" Type="http://schemas.openxmlformats.org/officeDocument/2006/relationships/hyperlink" Target="https://doi.org/10.1109/ICASSP49660.2025.10889522" TargetMode="External"/><Relationship Id="rId140" Type="http://schemas.openxmlformats.org/officeDocument/2006/relationships/hyperlink" Target="https://doi.org/10.1109/TCSS.2025.3608484" TargetMode="External"/><Relationship Id="rId125" Type="http://schemas.openxmlformats.org/officeDocument/2006/relationships/hyperlink" Target="https://doi.org/10.1186/s41039-018-0073-0" TargetMode="External"/><Relationship Id="rId116" Type="http://schemas.openxmlformats.org/officeDocument/2006/relationships/hyperlink" Target="https://doi.org/10.18653/v1/2021.acl-long.188" TargetMode="External"/><Relationship Id="rId117" Type="http://schemas.openxmlformats.org/officeDocument/2006/relationships/hyperlink" Target="https://doi.org/10.18653/v1/2021.emnlp-main.361" TargetMode="External"/><Relationship Id="rId114" Type="http://schemas.openxmlformats.org/officeDocument/2006/relationships/hyperlink" Target="https://doi.org/10.18653/v1/2021.emnlp-main.362" TargetMode="External"/><Relationship Id="rId127" Type="http://schemas.openxmlformats.org/officeDocument/2006/relationships/hyperlink" Target="https://doi.org/10.18653/v1/2021.findings-acl.84" TargetMode="External"/><Relationship Id="rId129" Type="http://schemas.openxmlformats.org/officeDocument/2006/relationships/hyperlink" Target="https://doi.org/10.18653/v1/2023.acl-long.754" TargetMode="External"/><Relationship Id="rId107" Type="http://schemas.openxmlformats.org/officeDocument/2006/relationships/hyperlink" Target="https://doi.org/10.18653/v1/2023.emnlp-main.647" TargetMode="External"/><Relationship Id="rId106" Type="http://schemas.openxmlformats.org/officeDocument/2006/relationships/hyperlink" Target="https://doi.org/10.18653/v1/2023.findings-acl.612" TargetMode="External"/><Relationship Id="rId130" Type="http://schemas.openxmlformats.org/officeDocument/2006/relationships/hyperlink" Target="https://doi.org/10.18653/v1/2023.wassa-1.3" TargetMode="External"/><Relationship Id="rId131" Type="http://schemas.openxmlformats.org/officeDocument/2006/relationships/hyperlink" Target="https://doi.org/10.18653/v1/2024.eacl-long.167" TargetMode="External"/><Relationship Id="rId135" Type="http://schemas.openxmlformats.org/officeDocument/2006/relationships/hyperlink" Target="https://doi.org/10.18653/v1/2024.findings-acl.658" TargetMode="External"/><Relationship Id="rId132" Type="http://schemas.openxmlformats.org/officeDocument/2006/relationships/hyperlink" Target="https://doi.org/10.18653/v1/2024.findings-naacl.246" TargetMode="External"/><Relationship Id="rId133" Type="http://schemas.openxmlformats.org/officeDocument/2006/relationships/hyperlink" Target="https://doi.org/10.18653/v1/2025.acl-long.752" TargetMode="External"/><Relationship Id="rId105" Type="http://schemas.openxmlformats.org/officeDocument/2006/relationships/hyperlink" Target="https://doi.org/10.18653/v1/N19-1423" TargetMode="External"/><Relationship Id="rId104" Type="http://schemas.openxmlformats.org/officeDocument/2006/relationships/hyperlink" Target="https://doi.org/10.18653/v1/S16-1002" TargetMode="External"/><Relationship Id="rId122" Type="http://schemas.openxmlformats.org/officeDocument/2006/relationships/hyperlink" Target="https://doi.org/10.3102/003465430298487" TargetMode="External"/><Relationship Id="rId103" Type="http://schemas.openxmlformats.org/officeDocument/2006/relationships/hyperlink" Target="https://doi.org/10.3115/v1/S14-2004" TargetMode="External"/><Relationship Id="rId102"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2026-07-03T10:16:50Z</dcterms:created>
  <dcterms:modified xsi:type="dcterms:W3CDTF">2026-07-03T10:16:50Z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