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2"/>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feedback is private and costly to annotate, with a methodology that applies beyond it. We release a controlled corpus of 10,000 synthetic course reviews over a 20-aspect pedagogical schema, generated by sampling supervision targets separately from nuance attributes, so the same labels recur across varied course contexts and styles. We then introduce a faithfulness-aware pipeline: a cost-matched LLM audit scores how well each declared label is supported by the text, and that score both filters the training data and is itself validated across independent LLM judges and against human labels (Cohen's kappa 0.56 on two annotated corpora).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(the unbiased metric), faithfulness-aware row filtering lowers transferred sentiment error (paired 95% bootstrap CI excludes zero), a lowest-faithfulness control collapses it, and both effects replicate across two architectures and two real benchmarks (Herath and EduRABSA). Synthetic-only training recovers about 60% of a real-trained model, and synthetic pre-training followed by real fine-tuning exceeds real-only training. The audit-filter-validate recipe is a general tool for quality-controlling LLM-supervised data; the corpus and code are released.</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replication across two architectures and two real transfer targets, and direct validation against human labels (Cohen's kappa 0.56 on two annotated corpora),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A recent line of work formalizes this as a generation, curation, and evaluation pipeline [34] and turns directly to controlling the quality of LLM-supervised data: synthetic ABSA generators add label-refinement modules for few-shot transfer [32], LLM-generated samples help ABSA in low-resource regimes [33], and downstream classifiers can be calibrated against LLM-generated label noise after training [37]. The present work sits on the data side of that pipeline: rather than refining labels inside the generator [32] or correcting the classifier downstream [37], it audits each declared label for textual support, filters the corpus before training, and validates that audit against human labels.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A recent systematic review of aspect-based sentiment analysis in MOOC settings similarly catalogs the aspect schemas and methods used across educational platforms [38].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80410"/>
            <wp:effectExtent b="0" l="0" r="0" t="0"/>
            <wp:docPr descr="Synthetic data generation pipeline" title="" id="15" name="Picture"/>
            <a:graphic>
              <a:graphicData uri="http://schemas.openxmlformats.org/drawingml/2006/picture">
                <pic:pic>
                  <pic:nvPicPr>
                    <pic:cNvPr descr="C:/Users/apart/AppData/Local/Temp/html2doc_svg_FJumYF/svg_0.png" id="16" name="Picture"/>
                    <pic:cNvPicPr>
                      <a:picLocks noChangeArrowheads="1" noChangeAspect="1"/>
                    </pic:cNvPicPr>
                  </pic:nvPicPr>
                  <pic:blipFill>
                    <a:blip r:embed="rId14"/>
                    <a:stretch>
                      <a:fillRect/>
                    </a:stretch>
                  </pic:blipFill>
                  <pic:spPr bwMode="auto">
                    <a:xfrm>
                      <a:off x="0" y="0"/>
                      <a:ext cx="6400800" cy="328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2984601" cy="2145513"/>
            <wp:effectExtent b="0" l="0" r="0" t="0"/>
            <wp:docPr descr="Aspect sentiment heatmap" title="" id="28" name="Picture"/>
            <a:graphic>
              <a:graphicData uri="http://schemas.openxmlformats.org/drawingml/2006/picture">
                <pic:pic>
                  <pic:nvPicPr>
                    <pic:cNvPr descr="C:/Users/apart/AppData/Local/Temp/html2doc_svg_FJumYF/svg_1.png" id="29" name="Picture"/>
                    <pic:cNvPicPr>
                      <a:picLocks noChangeArrowheads="1" noChangeAspect="1"/>
                    </pic:cNvPicPr>
                  </pic:nvPicPr>
                  <pic:blipFill>
                    <a:blip r:embed="rId27"/>
                    <a:stretch>
                      <a:fillRect/>
                    </a:stretch>
                  </pic:blipFill>
                  <pic:spPr bwMode="auto">
                    <a:xfrm>
                      <a:off x="0" y="0"/>
                      <a:ext cx="2984601" cy="21455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175347"/>
            <wp:effectExtent b="0" l="0" r="0" t="0"/>
            <wp:docPr descr="Corpus profile" title="" id="31" name="Picture"/>
            <a:graphic>
              <a:graphicData uri="http://schemas.openxmlformats.org/drawingml/2006/picture">
                <pic:pic>
                  <pic:nvPicPr>
                    <pic:cNvPr descr="C:/Users/apart/AppData/Local/Temp/html2doc_svg_FJumYF/svg_2.png" id="32" name="Picture"/>
                    <pic:cNvPicPr>
                      <a:picLocks noChangeArrowheads="1" noChangeAspect="1"/>
                    </pic:cNvPicPr>
                  </pic:nvPicPr>
                  <pic:blipFill>
                    <a:blip r:embed="rId30"/>
                    <a:stretch>
                      <a:fillRect/>
                    </a:stretch>
                  </pic:blipFill>
                  <pic:spPr bwMode="auto">
                    <a:xfrm>
                      <a:off x="0" y="0"/>
                      <a:ext cx="6400800" cy="417534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3"/>
    <w:bookmarkStart w:id="34" w:name="scope-of-reported-analyses"/>
    <w:p>
      <w:pPr>
        <w:pStyle w:val="Heading3"/>
        <w:keepNext/>
        <w:keepLines/>
        <w:widowControl w:val="1"/>
      </w:pPr>
      <w:r>
        <w:t xml:space="preserve">5.2 Scope of Reported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5.9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6400800" cy="2414383"/>
            <wp:effectExtent b="0" l="0" r="0" t="0"/>
            <wp:docPr descr="Benchmark comparison" title="" id="36" name="Picture"/>
            <a:graphic>
              <a:graphicData uri="http://schemas.openxmlformats.org/drawingml/2006/picture">
                <pic:pic>
                  <pic:nvPicPr>
                    <pic:cNvPr descr="C:/Users/apart/AppData/Local/Temp/html2doc_svg_FJumYF/svg_3.png" id="37" name="Picture"/>
                    <pic:cNvPicPr>
                      <a:picLocks noChangeArrowheads="1" noChangeAspect="1"/>
                    </pic:cNvPicPr>
                  </pic:nvPicPr>
                  <pic:blipFill>
                    <a:blip r:embed="rId35"/>
                    <a:stretch>
                      <a:fillRect/>
                    </a:stretch>
                  </pic:blipFill>
                  <pic:spPr bwMode="auto">
                    <a:xfrm>
                      <a:off x="0" y="0"/>
                      <a:ext cx="6400800" cy="241438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2984601" cy="2137106"/>
            <wp:effectExtent b="0" l="0" r="0" t="0"/>
            <wp:docPr descr="Best-model per-aspect benchmark" title="" id="41" name="Picture"/>
            <a:graphic>
              <a:graphicData uri="http://schemas.openxmlformats.org/drawingml/2006/picture">
                <pic:pic>
                  <pic:nvPicPr>
                    <pic:cNvPr descr="C:/Users/apart/AppData/Local/Temp/html2doc_svg_FJumYF/svg_4.png" id="42" name="Picture"/>
                    <pic:cNvPicPr>
                      <a:picLocks noChangeArrowheads="1" noChangeAspect="1"/>
                    </pic:cNvPicPr>
                  </pic:nvPicPr>
                  <pic:blipFill>
                    <a:blip r:embed="rId40"/>
                    <a:stretch>
                      <a:fillRect/>
                    </a:stretch>
                  </pic:blipFill>
                  <pic:spPr bwMode="auto">
                    <a:xfrm>
                      <a:off x="0" y="0"/>
                      <a:ext cx="2984601" cy="213710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6400800" cy="2280570"/>
            <wp:effectExtent b="0" l="0" r="0" t="0"/>
            <wp:docPr descr="External validation on mapped real student feedback" title="" id="45" name="Picture"/>
            <a:graphic>
              <a:graphicData uri="http://schemas.openxmlformats.org/drawingml/2006/picture">
                <pic:pic>
                  <pic:nvPicPr>
                    <pic:cNvPr descr="C:/Users/apart/AppData/Local/Temp/html2doc_svg_FJumYF/svg_5.png" id="46" name="Picture"/>
                    <pic:cNvPicPr>
                      <a:picLocks noChangeArrowheads="1" noChangeAspect="1"/>
                    </pic:cNvPicPr>
                  </pic:nvPicPr>
                  <pic:blipFill>
                    <a:blip r:embed="rId44"/>
                    <a:stretch>
                      <a:fillRect/>
                    </a:stretch>
                  </pic:blipFill>
                  <pic:spPr bwMode="auto">
                    <a:xfrm>
                      <a:off x="0" y="0"/>
                      <a:ext cx="6400800" cy="2280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6400800" cy="3455434"/>
            <wp:effectExtent b="0" l="0" r="0" t="0"/>
            <wp:docPr descr="Overlap-matched internal versus external comparison" title="" id="48" name="Picture"/>
            <a:graphic>
              <a:graphicData uri="http://schemas.openxmlformats.org/drawingml/2006/picture">
                <pic:pic>
                  <pic:nvPicPr>
                    <pic:cNvPr descr="C:/Users/apart/AppData/Local/Temp/html2doc_svg_FJumYF/svg_6.png" id="49" name="Picture"/>
                    <pic:cNvPicPr>
                      <a:picLocks noChangeArrowheads="1" noChangeAspect="1"/>
                    </pic:cNvPicPr>
                  </pic:nvPicPr>
                  <pic:blipFill>
                    <a:blip r:embed="rId47"/>
                    <a:stretch>
                      <a:fillRect/>
                    </a:stretch>
                  </pic:blipFill>
                  <pic:spPr bwMode="auto">
                    <a:xfrm>
                      <a:off x="0" y="0"/>
                      <a:ext cx="6400800" cy="3455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4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349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FJumYF/svg_7.png" id="55" name="Picture"/>
                    <pic:cNvPicPr>
                      <a:picLocks noChangeArrowheads="1" noChangeAspect="1"/>
                    </pic:cNvPicPr>
                  </pic:nvPicPr>
                  <pic:blipFill>
                    <a:blip r:embed="rId53"/>
                    <a:stretch>
                      <a:fillRect/>
                    </a:stretch>
                  </pic:blipFill>
                  <pic:spPr bwMode="auto">
                    <a:xfrm>
                      <a:off x="0" y="0"/>
                      <a:ext cx="2984601" cy="20349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 Using an LLM as a label auditor is consistent with evidence that LLM annotators can rival or exceed crowd workers on annotation tasks [35]; because LLM judges also carry documented biases [36], we control for them with the cross-provider agreement here and with the human-label validation below.</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the audit additionally reproduces human faithfulness labels on annotated data, as we show next.</w:t>
      </w:r>
    </w:p>
    <w:p>
      <w:pPr>
        <w:pStyle w:val="BodyText"/>
        <w:jc w:val="both"/>
        <w:keepNext w:val="0"/>
        <w:keepLines w:val="0"/>
        <w:widowControl w:val="1"/>
      </w:pPr>
      <w:r>
        <w:t xml:space="preserve">We close the loop by validating the audit directly against human labels. From the two human-annotated corpora (Herath and EduRABSA) we build 1,200 perturbation-controlled label variants: each sampled review carries a</w:t>
      </w:r>
      <w:r>
        <w:t xml:space="preserve"> </w:t>
      </w:r>
      <w:r>
        <w:rPr>
          <w:i/>
          <w:iCs/>
        </w:rPr>
        <w:t xml:space="preserve">faithful</w:t>
      </w:r>
      <w:r>
        <w:t xml:space="preserve"> </w:t>
      </w:r>
      <w:r>
        <w:t xml:space="preserve">variant with its human gold labels, a polarity-</w:t>
      </w:r>
      <w:r>
        <w:rPr>
          <w:i/>
          <w:iCs/>
        </w:rPr>
        <w:t xml:space="preserve">flipped</w:t>
      </w:r>
      <w:r>
        <w:t xml:space="preserve"> </w:t>
      </w:r>
      <w:r>
        <w:t xml:space="preserve">variant, and an aspect-</w:t>
      </w:r>
      <w:r>
        <w:rPr>
          <w:i/>
          <w:iCs/>
        </w:rPr>
        <w:t xml:space="preserve">injected</w:t>
      </w:r>
      <w:r>
        <w:t xml:space="preserve"> </w:t>
      </w:r>
      <w:r>
        <w:t xml:space="preserve">variant, and the Section 5.8 audit scores all three. The right comparison is per aspect, because the filter audits each declared aspect independently. Across 2,482 aspect-label decisions the audit reproduces the human judgment at Cohen's kappa 0.56 (precision 0.88, accuracy 0.78): it retains 0.69 of genuinely faithful aspects, rejects 0.89 of polarity-flipped aspects, and rejects 0.87 of injected absent aspects, with agreement higher on EduRABSA (kappa 0.62) than on Herath (kappa 0.51). The audit that drives the filter therefore tracks human faithfulness judgments on real annotated data, not only the verdicts of other LLM judges, and its precision means a label it accepts as faithful agrees with the human annotation 88% of the time.</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analysis is conducted with LLM judges and improves prompt quality without establishing statistical indistinguishability from real reviews; the label-faithfulness audit is validated three ways (a behavioral negative control, cross-provider judge agreement, and direct agreement with human labels at Cohen's kappa 0.56 on two annotated corpora, Section 5.9), and human re-annotation across the full 20-aspect schema remains the natural extension.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2984601" cy="2212163"/>
            <wp:effectExtent b="0" l="0" r="0" t="0"/>
            <wp:docPr descr="Per-aspect F1 heatmap on the mapped real benchmark" title="" id="69" name="Picture"/>
            <a:graphic>
              <a:graphicData uri="http://schemas.openxmlformats.org/drawingml/2006/picture">
                <pic:pic>
                  <pic:nvPicPr>
                    <pic:cNvPr descr="C:/Users/apart/AppData/Local/Temp/html2doc_svg_FJumYF/svg_8.png" id="70" name="Picture"/>
                    <pic:cNvPicPr>
                      <a:picLocks noChangeArrowheads="1" noChangeAspect="1"/>
                    </pic:cNvPicPr>
                  </pic:nvPicPr>
                  <pic:blipFill>
                    <a:blip r:embed="rId68"/>
                    <a:stretch>
                      <a:fillRect/>
                    </a:stretch>
                  </pic:blipFill>
                  <pic:spPr bwMode="auto">
                    <a:xfrm>
                      <a:off x="0" y="0"/>
                      <a:ext cx="2984601" cy="22121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6400800" cy="4146172"/>
            <wp:effectExtent b="0" l="0" r="0" t="0"/>
            <wp:docPr descr="Aspect count distribution in the pilot validation subset" title="" id="74" name="Picture"/>
            <a:graphic>
              <a:graphicData uri="http://schemas.openxmlformats.org/drawingml/2006/picture">
                <pic:pic>
                  <pic:nvPicPr>
                    <pic:cNvPr descr="C:/Users/apart/AppData/Local/Temp/html2doc_svg_FJumYF/svg_9.png" id="75" name="Picture"/>
                    <pic:cNvPicPr>
                      <a:picLocks noChangeArrowheads="1" noChangeAspect="1"/>
                    </pic:cNvPicPr>
                  </pic:nvPicPr>
                  <pic:blipFill>
                    <a:blip r:embed="rId73"/>
                    <a:stretch>
                      <a:fillRect/>
                    </a:stretch>
                  </pic:blipFill>
                  <pic:spPr bwMode="auto">
                    <a:xfrm>
                      <a:off x="0" y="0"/>
                      <a:ext cx="6400800" cy="41461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6400800" cy="3380814"/>
            <wp:effectExtent b="0" l="0" r="0" t="0"/>
            <wp:docPr descr="Seed stability across the strongest local models" title="" id="79" name="Picture"/>
            <a:graphic>
              <a:graphicData uri="http://schemas.openxmlformats.org/drawingml/2006/picture">
                <pic:pic>
                  <pic:nvPicPr>
                    <pic:cNvPr descr="C:/Users/apart/AppData/Local/Temp/html2doc_svg_FJumYF/svg_10.png" id="80" name="Picture"/>
                    <pic:cNvPicPr>
                      <a:picLocks noChangeArrowheads="1" noChangeAspect="1"/>
                    </pic:cNvPicPr>
                  </pic:nvPicPr>
                  <pic:blipFill>
                    <a:blip r:embed="rId78"/>
                    <a:stretch>
                      <a:fillRect/>
                    </a:stretch>
                  </pic:blipFill>
                  <pic:spPr bwMode="auto">
                    <a:xfrm>
                      <a:off x="0" y="0"/>
                      <a:ext cx="6400800" cy="3380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4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6400800" cy="3020767"/>
            <wp:effectExtent b="0" l="0" r="0" t="0"/>
            <wp:docPr descr="Training-budget tuning comparison for BERT and DistilBERT" title="" id="82" name="Picture"/>
            <a:graphic>
              <a:graphicData uri="http://schemas.openxmlformats.org/drawingml/2006/picture">
                <pic:pic>
                  <pic:nvPicPr>
                    <pic:cNvPr descr="C:/Users/apart/AppData/Local/Temp/html2doc_svg_FJumYF/svg_11.png" id="83" name="Picture"/>
                    <pic:cNvPicPr>
                      <a:picLocks noChangeArrowheads="1" noChangeAspect="1"/>
                    </pic:cNvPicPr>
                  </pic:nvPicPr>
                  <pic:blipFill>
                    <a:blip r:embed="rId81"/>
                    <a:stretch>
                      <a:fillRect/>
                    </a:stretch>
                  </pic:blipFill>
                  <pic:spPr bwMode="auto">
                    <a:xfrm>
                      <a:off x="0" y="0"/>
                      <a:ext cx="6400800" cy="30207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4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864489"/>
            <wp:effectExtent b="0" l="0" r="0" t="0"/>
            <wp:docPr descr="Realism improvement curve" title="" id="87" name="Picture"/>
            <a:graphic>
              <a:graphicData uri="http://schemas.openxmlformats.org/drawingml/2006/picture">
                <pic:pic>
                  <pic:nvPicPr>
                    <pic:cNvPr descr="C:/Users/apart/AppData/Local/Temp/html2doc_svg_FJumYF/svg_12.png" id="88" name="Picture"/>
                    <pic:cNvPicPr>
                      <a:picLocks noChangeArrowheads="1" noChangeAspect="1"/>
                    </pic:cNvPicPr>
                  </pic:nvPicPr>
                  <pic:blipFill>
                    <a:blip r:embed="rId86"/>
                    <a:stretch>
                      <a:fillRect/>
                    </a:stretch>
                  </pic:blipFill>
                  <pic:spPr bwMode="auto">
                    <a:xfrm>
                      <a:off x="0" y="0"/>
                      <a:ext cx="6400800" cy="18644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32"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p>
      <w:pPr>
        <w:pStyle w:val="Compact"/>
        <w:numPr>
          <w:ilvl w:val="0"/>
          <w:numId w:val="1003"/>
        </w:numPr>
        <w:ind w:left="360" w:hanging="259"/>
        <w:jc w:val="both"/>
        <w:keepNext w:val="0"/>
        <w:keepLines w:val="0"/>
        <w:widowControl w:val="1"/>
      </w:pPr>
      <w:r>
        <w:t xml:space="preserve">Hongling Xu, Yice Zhang, Qianlong Wang, and Ruifeng Xu. 2025.</w:t>
      </w:r>
      <w:r>
        <w:t xml:space="preserve"> </w:t>
      </w:r>
      <w:hyperlink r:id="rId125">
        <w:r>
          <w:rPr>
            <w:rStyle w:val="Hyperlink"/>
          </w:rPr>
          <w:t xml:space="preserve">DS2-ABSA: Dual-Stream Data Synthesis with Label Refinement for Few-Shot Aspect-Based Sentiment Analysis</w:t>
        </w:r>
      </w:hyperlink>
      <w:r>
        <w:t xml:space="preserve">. Proceedings of ACL 2025.</w:t>
      </w:r>
    </w:p>
    <w:p>
      <w:pPr>
        <w:pStyle w:val="Compact"/>
        <w:numPr>
          <w:ilvl w:val="0"/>
          <w:numId w:val="1003"/>
        </w:numPr>
        <w:ind w:left="360" w:hanging="259"/>
        <w:jc w:val="both"/>
        <w:keepNext w:val="0"/>
        <w:keepLines w:val="0"/>
        <w:widowControl w:val="1"/>
      </w:pPr>
      <w:r>
        <w:t xml:space="preserve">Nils Constantin Hellwig, Jakob Fehle, and Christian Wolff. 2025.</w:t>
      </w:r>
      <w:r>
        <w:t xml:space="preserve"> </w:t>
      </w:r>
      <w:hyperlink r:id="rId126">
        <w:r>
          <w:rPr>
            <w:rStyle w:val="Hyperlink"/>
          </w:rPr>
          <w:t xml:space="preserve">Exploring large language models for the generation of synthetic training samples for aspect-based sentiment analysis in low resource settings</w:t>
        </w:r>
      </w:hyperlink>
      <w:r>
        <w:t xml:space="preserve">.</w:t>
      </w:r>
      <w:r>
        <w:t xml:space="preserve"> </w:t>
      </w:r>
      <w:r>
        <w:rPr>
          <w:i/>
          <w:iCs/>
        </w:rPr>
        <w:t xml:space="preserve">Expert Systems with Applications</w:t>
      </w:r>
      <w:r>
        <w:t xml:space="preserve">, 261, 125514.</w:t>
      </w:r>
    </w:p>
    <w:p>
      <w:pPr>
        <w:pStyle w:val="Compact"/>
        <w:numPr>
          <w:ilvl w:val="0"/>
          <w:numId w:val="1003"/>
        </w:numPr>
        <w:ind w:left="360" w:hanging="259"/>
        <w:jc w:val="both"/>
        <w:keepNext w:val="0"/>
        <w:keepLines w:val="0"/>
        <w:widowControl w:val="1"/>
      </w:pPr>
      <w:r>
        <w:t xml:space="preserve">Lin Long, Rui Wang, Ruixuan Xiao, Junbo Zhao, Xiao Ding, Gang Chen, and Haobo Wang. 2024.</w:t>
      </w:r>
      <w:r>
        <w:t xml:space="preserve"> </w:t>
      </w:r>
      <w:hyperlink r:id="rId127">
        <w:r>
          <w:rPr>
            <w:rStyle w:val="Hyperlink"/>
          </w:rPr>
          <w:t xml:space="preserve">On LLMs-Driven Synthetic Data Generation, Curation, and Evaluation: A Survey</w:t>
        </w:r>
      </w:hyperlink>
      <w:r>
        <w:t xml:space="preserve">. Findings of ACL 2024.</w:t>
      </w:r>
    </w:p>
    <w:p>
      <w:pPr>
        <w:pStyle w:val="Compact"/>
        <w:numPr>
          <w:ilvl w:val="0"/>
          <w:numId w:val="1003"/>
        </w:numPr>
        <w:ind w:left="360" w:hanging="259"/>
        <w:jc w:val="both"/>
        <w:keepNext w:val="0"/>
        <w:keepLines w:val="0"/>
        <w:widowControl w:val="1"/>
      </w:pPr>
      <w:r>
        <w:t xml:space="preserve">Fabrizio Gilardi, Meysam Alizadeh, and Maël Kubli. 2023.</w:t>
      </w:r>
      <w:r>
        <w:t xml:space="preserve"> </w:t>
      </w:r>
      <w:hyperlink r:id="rId128">
        <w:r>
          <w:rPr>
            <w:rStyle w:val="Hyperlink"/>
          </w:rPr>
          <w:t xml:space="preserve">ChatGPT outperforms crowd workers for text-annotation tasks</w:t>
        </w:r>
      </w:hyperlink>
      <w:r>
        <w:t xml:space="preserve">.</w:t>
      </w:r>
      <w:r>
        <w:t xml:space="preserve"> </w:t>
      </w:r>
      <w:r>
        <w:rPr>
          <w:i/>
          <w:iCs/>
        </w:rPr>
        <w:t xml:space="preserve">Proceedings of the National Academy of Sciences</w:t>
      </w:r>
      <w:r>
        <w:t xml:space="preserve">, 120(30), e2305016120.</w:t>
      </w:r>
    </w:p>
    <w:p>
      <w:pPr>
        <w:pStyle w:val="Compact"/>
        <w:numPr>
          <w:ilvl w:val="0"/>
          <w:numId w:val="1003"/>
        </w:numPr>
        <w:ind w:left="360" w:hanging="259"/>
        <w:jc w:val="both"/>
        <w:keepNext w:val="0"/>
        <w:keepLines w:val="0"/>
        <w:widowControl w:val="1"/>
      </w:pPr>
      <w:r>
        <w:t xml:space="preserve">Jiawei Gu, Xuhui Jiang, Zhichao Shi, Hexiang Tan, Xuehao Zhai, Chengjin Xu, Wei Li, Yinghan Shen, Shengjie Ma, Honghao Liu, Saizhuo Wang, Kun Zhang, Yuanzhuo Wang, and Jian Guo. 2025.</w:t>
      </w:r>
      <w:r>
        <w:t xml:space="preserve"> </w:t>
      </w:r>
      <w:hyperlink r:id="rId129">
        <w:r>
          <w:rPr>
            <w:rStyle w:val="Hyperlink"/>
          </w:rPr>
          <w:t xml:space="preserve">A Survey on LLM-as-a-Judge</w:t>
        </w:r>
      </w:hyperlink>
      <w:r>
        <w:t xml:space="preserve">. arXiv:2411.15594.</w:t>
      </w:r>
    </w:p>
    <w:p>
      <w:pPr>
        <w:pStyle w:val="Compact"/>
        <w:numPr>
          <w:ilvl w:val="0"/>
          <w:numId w:val="1003"/>
        </w:numPr>
        <w:ind w:left="360" w:hanging="259"/>
        <w:jc w:val="both"/>
        <w:keepNext w:val="0"/>
        <w:keepLines w:val="0"/>
        <w:widowControl w:val="1"/>
      </w:pPr>
      <w:r>
        <w:t xml:space="preserve">Liqin Ye, Agam Shah, Chao Zhang, and Sudheer Chava. 2025.</w:t>
      </w:r>
      <w:r>
        <w:t xml:space="preserve"> </w:t>
      </w:r>
      <w:hyperlink r:id="rId130">
        <w:r>
          <w:rPr>
            <w:rStyle w:val="Hyperlink"/>
          </w:rPr>
          <w:t xml:space="preserve">Calibrating Pre-trained Language Classifiers on LLM-generated Noisy Labels via Iterative Refinement</w:t>
        </w:r>
      </w:hyperlink>
      <w:r>
        <w:t xml:space="preserve">. Proceedings of KDD 2025.</w:t>
      </w:r>
    </w:p>
    <w:p>
      <w:pPr>
        <w:pStyle w:val="Compact"/>
        <w:numPr>
          <w:ilvl w:val="0"/>
          <w:numId w:val="1003"/>
        </w:numPr>
        <w:ind w:left="360" w:hanging="259"/>
        <w:jc w:val="both"/>
        <w:keepNext w:val="0"/>
        <w:keepLines w:val="0"/>
        <w:widowControl w:val="1"/>
      </w:pPr>
      <w:r>
        <w:t xml:space="preserve">Wed Akeel Awadh, Rosnafisah Bte Sulaiman, and Moamin A. Mahmoud. 2025.</w:t>
      </w:r>
      <w:r>
        <w:t xml:space="preserve"> </w:t>
      </w:r>
      <w:hyperlink r:id="rId131">
        <w:r>
          <w:rPr>
            <w:rStyle w:val="Hyperlink"/>
          </w:rPr>
          <w:t xml:space="preserve">Aspect-based sentiment analysis in MOOCs: a systematic literature review introducing the MASC-MEF framework</w:t>
        </w:r>
      </w:hyperlink>
      <w:r>
        <w:t xml:space="preserve">.</w:t>
      </w:r>
      <w:r>
        <w:t xml:space="preserve"> </w:t>
      </w:r>
      <w:r>
        <w:rPr>
          <w:i/>
          <w:iCs/>
        </w:rPr>
        <w:t xml:space="preserve">Journal of King Saud University Computer and Information Sciences</w:t>
      </w:r>
      <w:r>
        <w:t xml:space="preserve">.</w:t>
      </w:r>
    </w:p>
    <w:bookmarkEnd w:id="132"/>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29" Type="http://schemas.openxmlformats.org/officeDocument/2006/relationships/hyperlink" Target="https://arxiv.org/abs/2411.15594" TargetMode="External"/><Relationship Id="rId130" Type="http://schemas.openxmlformats.org/officeDocument/2006/relationships/hyperlink" Target="https://arxiv.org/abs/2505.19675" TargetMode="External"/><Relationship Id="rId105" Type="http://schemas.openxmlformats.org/officeDocument/2006/relationships/hyperlink" Target="https://arxiv.org/abs/2508.17008" TargetMode="External"/><Relationship Id="rId131" Type="http://schemas.openxmlformats.org/officeDocument/2006/relationships/hyperlink" Target="https://doi.org/10.1007/s44443-025-00018-1" TargetMode="External"/><Relationship Id="rId118" Type="http://schemas.openxmlformats.org/officeDocument/2006/relationships/hyperlink" Target="https://doi.org/10.1016/j.compedu.2020.103965" TargetMode="External"/><Relationship Id="rId126" Type="http://schemas.openxmlformats.org/officeDocument/2006/relationships/hyperlink" Target="https://doi.org/10.1016/j.eswa.2024.125514"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28" Type="http://schemas.openxmlformats.org/officeDocument/2006/relationships/hyperlink" Target="https://doi.org/10.1073/pnas.2305016120"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27" Type="http://schemas.openxmlformats.org/officeDocument/2006/relationships/hyperlink" Target="https://doi.org/10.18653/v1/2024.findings-acl.658" TargetMode="External"/><Relationship Id="rId125" Type="http://schemas.openxmlformats.org/officeDocument/2006/relationships/hyperlink" Target="https://doi.org/10.18653/v1/2025.acl-long.752"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29" Type="http://schemas.openxmlformats.org/officeDocument/2006/relationships/hyperlink" Target="https://arxiv.org/abs/2411.15594" TargetMode="External"/><Relationship Id="rId130" Type="http://schemas.openxmlformats.org/officeDocument/2006/relationships/hyperlink" Target="https://arxiv.org/abs/2505.19675" TargetMode="External"/><Relationship Id="rId105" Type="http://schemas.openxmlformats.org/officeDocument/2006/relationships/hyperlink" Target="https://arxiv.org/abs/2508.17008" TargetMode="External"/><Relationship Id="rId131" Type="http://schemas.openxmlformats.org/officeDocument/2006/relationships/hyperlink" Target="https://doi.org/10.1007/s44443-025-00018-1" TargetMode="External"/><Relationship Id="rId118" Type="http://schemas.openxmlformats.org/officeDocument/2006/relationships/hyperlink" Target="https://doi.org/10.1016/j.compedu.2020.103965" TargetMode="External"/><Relationship Id="rId126" Type="http://schemas.openxmlformats.org/officeDocument/2006/relationships/hyperlink" Target="https://doi.org/10.1016/j.eswa.2024.125514"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28" Type="http://schemas.openxmlformats.org/officeDocument/2006/relationships/hyperlink" Target="https://doi.org/10.1073/pnas.2305016120"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27" Type="http://schemas.openxmlformats.org/officeDocument/2006/relationships/hyperlink" Target="https://doi.org/10.18653/v1/2024.findings-acl.658" TargetMode="External"/><Relationship Id="rId125" Type="http://schemas.openxmlformats.org/officeDocument/2006/relationships/hyperlink" Target="https://doi.org/10.18653/v1/2025.acl-long.752"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2026-06-13T11:02:17Z</dcterms:created>
  <dcterms:modified xsi:type="dcterms:W3CDTF">2026-06-13T11:02:17Z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