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0.42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U4GQWx/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U4GQWx/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U4GQWx/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U4GQWx/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U4GQWx/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6 adds the overlap-support context needed to interpret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U4GQWx/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U4GQWx/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eight seeds with 95% bootstrap CI in brackets. Sentiment MSE is computed on aspects the detector identified as present.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Table 8F. Cross-architecture and cross-target replication of the Section 5.9 contrasts. Paired bucket-versus-baseline differences in sentiment MSE on the detector's predicted aspects, mean over eight seeds with 95% bootstrap CI. The</w:t>
      </w:r>
      <w:r>
        <w:t xml:space="preserve"> </w:t>
      </w:r>
      <w:r>
        <w:rPr>
          <w:rStyle w:val="VerbatimChar"/>
        </w:rPr>
        <w:t xml:space="preserve">top50 − random_5k</w:t>
      </w:r>
      <w:r>
        <w:t xml:space="preserve"> </w:t>
      </w:r>
      <w:r>
        <w:t xml:space="preserve">contrast is reported on the architecture-replication row (DistilBERT-Herath) where the experiment is set up to test size-controlled filtering at the same scale as BERT-Herath; on EduRABSA the size-controlled comparison is reserved for the bot25 negative control.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F.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U4GQWx/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Claude 3.5 Haiku via OpenRouter: per-aspect support agreement against the GPT-5.2 audit was 0.817 and sentiment-match agreement was 0.678, comparable to the gpt-4.1-mini calibration used at scale. The audit-derived buckets are therefore robust to the choice of cost-matched judge.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U4GQWx/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U4GQWx/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U4GQWx/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U4GQWx/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U4GQWx/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2026-06-05T07:06:31Z</dcterms:created>
  <dcterms:modified xsi:type="dcterms:W3CDTF">2026-06-05T07:06:31Z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