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rPr>
          <w:rFonts w:ascii="Georgia" w:hAnsi="Georgia"/>
          <w:b/>
          <w:i w:val="0"/>
          <w:sz w:val="24"/>
        </w:rP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Educational aspect-based sentiment analysis (ABSA) can support course improvement, but public aspect-labeled student feedback remains scarce because educational reviews are private, institution-specific, and expensive to annotate. This study introduces a controlled synthetic benchmark for educational ABSA built from 10,000 synthetic course reviews with explicit train-validation-test splits and a 20-aspect pedagogical schema spanning instructional quality, assessment and course management, learning demand, learning environment, and engagement. The corpus is generated with sampled target labels, sampled nuance attributes, and a realism-tuned prompt refined through a three-cycle judge-editor procedure. On the resulting benchmark, local baselines with TF-IDF, two-step transformers, and joint encoders show that the task is nontrivial; the strongest untuned model, BERT, reaches a held-out detection micro-F1 of 0.2760, while a modest lower-rate BERT schedule improves this to 0.2930. Full-test GPT-based inference with</w:t>
      </w:r>
      <w:r>
        <w:t xml:space="preserve"> </w:t>
      </w:r>
      <w:r>
        <w:rPr>
          <w:rStyle w:val="VerbatimChar"/>
        </w:rPr>
        <w:t xml:space="preserve">gpt-5.2</w:t>
      </w:r>
      <w:r>
        <w:t xml:space="preserve"> </w:t>
      </w:r>
      <w:r>
        <w:t xml:space="preserve">reaches 0.2519 micro-F1 in zero-shot mode and 0.2501 with retrieval-based few-shot prompting, placing batch inference above the classical baseline and close to the compact joint encoders. A conservative external evaluation on 2,829 mapped student-feedback reviews from Herath et al. yields a micro-F1 of 0.4593 for BERT on a 9-aspect overlap, indicating partial synthetic-to-real transfer. Realism and faithfulness analyses are reported as generator diagnostics that clarify how the benchmark was stabilized; the faithfulness score is then shown to act as an actionable training-data filter, where retaining the top 50% of the corpus by audit score reduces Herath sentiment-polarity error at half the training cost, replicates on a distilled smaller architecture, and on a second public educational ABSA benchmark (EduRABSA) the bottom-25% control bucket lifts sentiment MSE by 0.34 to 0.42 across both BERT-family architectures and both transfer targets (paired 95% bootstrap CI across eight seeds excludes zero in every condition). The study therefore contributes a synthetic educational ABSA corpus, a documented generation procedure, a reproducible benchmark setting for a domain in which public labeled data remain difficult to obtain, and a faithfulness-aware filtering recipe whose validity is established across two architectures and two transfer benchmarks.</w:t>
      </w: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Consider a typical undergraduate program at the end of a teaching term. Every course generates dozens to hundreds of free-text comments alongside numerical ratings, and the program lead reads, in practice, a tiny fraction. A 4.1 / 5 satisfaction score does not say whether students appreciated lecture clarity or merely tolerated it, whether exam fairness held up while workload climbed, or whether the same TA team was praised for support and criticised for grading transparency. Aspect-based sentiment analysis (ABSA) is the layer that translates raw comments into the per-dimension, per-instructor, per-cohort signals a program lead can act on. An institutional ABSA pipeline of the kind this paper enables would let a department, in one term-over-term comparison, see that</w:t>
      </w:r>
      <w:r>
        <w:t xml:space="preserve"> </w:t>
      </w:r>
      <w:r>
        <w:rPr>
          <w:rStyle w:val="VerbatimChar"/>
        </w:rPr>
        <w:t xml:space="preserve">tooling_usability</w:t>
      </w:r>
      <w:r>
        <w:t xml:space="preserve"> </w:t>
      </w:r>
      <w:r>
        <w:t xml:space="preserve">sentiment across an introductory programming sequence dropped sharply after a submission-platform change, or that</w:t>
      </w:r>
      <w:r>
        <w:t xml:space="preserve"> </w:t>
      </w:r>
      <w:r>
        <w:rPr>
          <w:rStyle w:val="VerbatimChar"/>
        </w:rPr>
        <w:t xml:space="preserve">pacing</w:t>
      </w:r>
      <w:r>
        <w:t xml:space="preserve"> </w:t>
      </w:r>
      <w:r>
        <w:t xml:space="preserve">declined in a senior elective as the syllabus accumulated topics without trimming.</w:t>
      </w:r>
    </w:p>
    <w:p>
      <w:pPr>
        <w:pStyle w:val="BodyText"/>
        <w:jc w:val="both"/>
        <w:keepNext w:val="0"/>
        <w:keepLines w:val="0"/>
        <w:widowControl w:val="1"/>
      </w:pPr>
      <w:r>
        <w:t xml:space="preserve">Three institutional workflows benefit directly from such a pipeline.</w:t>
      </w:r>
      <w:r>
        <w:t xml:space="preserve"> </w:t>
      </w:r>
      <w:r>
        <w:rPr>
          <w:b/>
          <w:bCs/>
        </w:rPr>
        <w:t xml:space="preserve">End-of-term review</w:t>
      </w:r>
      <w:r>
        <w:t xml:space="preserve">: an aspect-tagged feed converts an unread comment pile into per-aspect dashboards a program lead can scan in minutes, with negative-rate signals routed to the right intervention (TA training for</w:t>
      </w:r>
      <w:r>
        <w:t xml:space="preserve"> </w:t>
      </w:r>
      <w:r>
        <w:rPr>
          <w:rStyle w:val="VerbatimChar"/>
        </w:rPr>
        <w:t xml:space="preserve">support</w:t>
      </w:r>
      <w:r>
        <w:t xml:space="preserve">, syllabus rewrite for</w:t>
      </w:r>
      <w:r>
        <w:t xml:space="preserve"> </w:t>
      </w:r>
      <w:r>
        <w:rPr>
          <w:rStyle w:val="VerbatimChar"/>
        </w:rPr>
        <w:t xml:space="preserve">pacing</w:t>
      </w:r>
      <w:r>
        <w:t xml:space="preserve">, platform fix for</w:t>
      </w:r>
      <w:r>
        <w:t xml:space="preserve"> </w:t>
      </w:r>
      <w:r>
        <w:rPr>
          <w:rStyle w:val="VerbatimChar"/>
        </w:rPr>
        <w:t xml:space="preserve">tooling_usability</w:t>
      </w:r>
      <w:r>
        <w:t xml:space="preserve">).</w:t>
      </w:r>
      <w:r>
        <w:t xml:space="preserve"> </w:t>
      </w:r>
      <w:r>
        <w:rPr>
          <w:b/>
          <w:bCs/>
        </w:rPr>
        <w:t xml:space="preserve">Mid-term pulse</w:t>
      </w:r>
      <w:r>
        <w:t xml:space="preserve">: a short free-text survey at week six, tagged by aspect, surfaces the categories with rising negative density (often</w:t>
      </w:r>
      <w:r>
        <w:t xml:space="preserve"> </w:t>
      </w:r>
      <w:r>
        <w:rPr>
          <w:rStyle w:val="VerbatimChar"/>
        </w:rPr>
        <w:t xml:space="preserve">pacing</w:t>
      </w:r>
      <w:r>
        <w:t xml:space="preserve"> </w:t>
      </w:r>
      <w:r>
        <w:t xml:space="preserve">or</w:t>
      </w:r>
      <w:r>
        <w:t xml:space="preserve"> </w:t>
      </w:r>
      <w:r>
        <w:rPr>
          <w:rStyle w:val="VerbatimChar"/>
        </w:rPr>
        <w:t xml:space="preserve">support</w:t>
      </w:r>
      <w:r>
        <w:t xml:space="preserve">) early enough that the instructor can still intervene before final assessment.</w:t>
      </w:r>
      <w:r>
        <w:t xml:space="preserve"> </w:t>
      </w:r>
      <w:r>
        <w:rPr>
          <w:b/>
          <w:bCs/>
        </w:rPr>
        <w:t xml:space="preserve">Longitudinal monitoring</w:t>
      </w:r>
      <w:r>
        <w:t xml:space="preserve">: the same course taught over four to eight semesters yields an aspect-time series whose drift exposes slow-moving problems (workload creep, declining</w:t>
      </w:r>
      <w:r>
        <w:t xml:space="preserve"> </w:t>
      </w:r>
      <w:r>
        <w:rPr>
          <w:rStyle w:val="VerbatimChar"/>
        </w:rPr>
        <w:t xml:space="preserve">peer_interaction</w:t>
      </w:r>
      <w:r>
        <w:t xml:space="preserve"> </w:t>
      </w:r>
      <w:r>
        <w:t xml:space="preserve">as cohorts grew, gradually narrowing</w:t>
      </w:r>
      <w:r>
        <w:t xml:space="preserve"> </w:t>
      </w:r>
      <w:r>
        <w:rPr>
          <w:rStyle w:val="VerbatimChar"/>
        </w:rPr>
        <w:t xml:space="preserve">practical_application</w:t>
      </w:r>
      <w:r>
        <w:t xml:space="preserve">) that no single end-of-term reading reveals. None of these workflows demand a perfect classifier; they demand one that is available, reproducible, and substantially cheaper than the human reading they replace. The bottleneck today is not modelling architecture but supervision: educational ABSA datasets are scarce, expensive to annotate, and rarely public.</w:t>
      </w:r>
    </w:p>
    <w:p>
      <w:pPr>
        <w:pStyle w:val="BodyText"/>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central contribution is therefore practical and scientific at the same time:</w:t>
      </w:r>
      <w:r>
        <w:t xml:space="preserve"> </w:t>
      </w:r>
      <w:r>
        <w:rPr>
          <w:b/>
          <w:bCs/>
        </w:rPr>
        <w:t xml:space="preserve">a synthetic educational review corpus with controlled aspect labels can support internally consistent ABSA training and evaluation, while diversity and realism analyses help stabilize the generation process.</w:t>
      </w:r>
      <w:r>
        <w:t xml:space="preserve"> </w:t>
      </w:r>
      <w:r>
        <w:t xml:space="preserve">Synthetic supervision is treated here as a practical way to study an educational NLP problem whose pedagogical value is high but whose public labeled data remain unusually scarce.</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and Section 5 presents the main benchmark, external-validation, and generator-faithfulness results before Section 6 discusses limitations and implications. Generator realism-validation and corpus-scale output-control diagnostics are reported in the appendix.</w:t>
      </w:r>
    </w:p>
    <w:bookmarkStart w:id="11" w:name="contributions"/>
    <w:p>
      <w:pPr>
        <w:pStyle w:val="Heading3"/>
        <w:keepNext/>
        <w:keepLines/>
        <w:widowControl w:val="1"/>
      </w:pPr>
      <w:r>
        <w:t xml:space="preserve">Contributions</w:t>
      </w:r>
    </w:p>
    <w:p>
      <w:pPr>
        <w:pStyle w:val="Compact"/>
        <w:numPr>
          <w:ilvl w:val="0"/>
          <w:numId w:val="1001"/>
        </w:numPr>
        <w:ind w:left="360" w:hanging="259"/>
        <w:jc w:val="both"/>
        <w:keepNext w:val="0"/>
        <w:keepLines w:val="0"/>
        <w:widowControl w:val="1"/>
      </w:pPr>
      <w:r>
        <w:rPr>
          <w:b/>
          <w:bCs/>
        </w:rPr>
        <w:t xml:space="preserve">Educational benchmark resource:</w:t>
      </w:r>
      <w:r>
        <w:t xml:space="preserve"> </w:t>
      </w:r>
      <w:r>
        <w:t xml:space="preserve">a 10,000-review synthetic course-review corpus with explicit train, validation, and test partitions over a 20-aspect pedagogical schema that is substantially richer than the small educational sentiment resources typically available.</w:t>
      </w:r>
    </w:p>
    <w:p>
      <w:pPr>
        <w:pStyle w:val="Compact"/>
        <w:numPr>
          <w:ilvl w:val="0"/>
          <w:numId w:val="1001"/>
        </w:numPr>
        <w:ind w:left="360" w:hanging="259"/>
        <w:jc w:val="both"/>
        <w:keepNext w:val="0"/>
        <w:keepLines w:val="0"/>
        <w:widowControl w:val="1"/>
      </w:pPr>
      <w:r>
        <w:rPr>
          <w:b/>
          <w:bCs/>
        </w:rPr>
        <w:t xml:space="preserve">Controlled generation design:</w:t>
      </w:r>
      <w:r>
        <w:t xml:space="preserve"> </w:t>
      </w:r>
      <w:r>
        <w:t xml:space="preserve">a generation procedure that separates supervision targets from nuance attributes, allowing the same aspect labels to appear under different course contexts, student backgrounds, and writing styles instead of collapsing into one prompt pattern.</w:t>
      </w:r>
    </w:p>
    <w:p>
      <w:pPr>
        <w:pStyle w:val="Compact"/>
        <w:numPr>
          <w:ilvl w:val="0"/>
          <w:numId w:val="1001"/>
        </w:numPr>
        <w:ind w:left="360" w:hanging="259"/>
        <w:jc w:val="both"/>
        <w:keepNext w:val="0"/>
        <w:keepLines w:val="0"/>
        <w:widowControl w:val="1"/>
      </w:pPr>
      <w:r>
        <w:rPr>
          <w:b/>
          <w:bCs/>
        </w:rPr>
        <w:t xml:space="preserve">Benchmark evidence:</w:t>
      </w:r>
      <w:r>
        <w:t xml:space="preserve"> </w:t>
      </w:r>
      <w:r>
        <w:t xml:space="preserve">a full internal ABSA benchmark with TF-IDF and transformer baselines showing that the resulting task is nontrivial and supports reproducible model comparison under fixed splits.</w:t>
      </w:r>
    </w:p>
    <w:p>
      <w:pPr>
        <w:pStyle w:val="Compact"/>
        <w:numPr>
          <w:ilvl w:val="0"/>
          <w:numId w:val="1001"/>
        </w:numPr>
        <w:ind w:left="360" w:hanging="259"/>
        <w:jc w:val="both"/>
        <w:keepNext w:val="0"/>
        <w:keepLines w:val="0"/>
        <w:widowControl w:val="1"/>
      </w:pPr>
      <w:r>
        <w:rPr>
          <w:b/>
          <w:bCs/>
        </w:rPr>
        <w:t xml:space="preserve">Initial external relevance:</w:t>
      </w:r>
      <w:r>
        <w:t xml:space="preserve"> </w:t>
      </w:r>
      <w:r>
        <w:t xml:space="preserve">a conservative synthetic-to-real evaluation on mapped Herath student feedback, together with realism and faithfulness analyses that clarify what the corpus supports and where its present limits remain.</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This caution is especially relevant here because educational ABSA is a subjective and domain-specific task whose label space often reflects local pedagogical practice rather than a universal ontology.</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Together, this literature supports the relevance of the problem, clarifies why real labeled educational data are difficult to obtain at scale, and explains why a synthetic educational ABSA resource may be useful even when realism validation remains a separate concern.</w:t>
      </w:r>
    </w:p>
    <w:p>
      <w:pPr>
        <w:pStyle w:val="TableCaption"/>
        <w:spacing w:before="280" w:after="60" w:line="240" w:lineRule="auto"/>
        <w:jc w:val="center"/>
        <w:keepNext/>
        <w:keepLines/>
        <w:widowControl w:val="1"/>
      </w:pPr>
      <w:r>
        <w:rPr>
          <w:b/>
          <w:i/>
        </w:rPr>
        <w:t>Table 1.</w:t>
      </w:r>
      <w:r>
        <w:rPr>
          <w:b w:val="0"/>
          <w:i/>
        </w:rPr>
        <w:t xml:space="preserve"> </w:t>
      </w:r>
      <w:r>
        <w:rPr>
          <w:b w:val="0"/>
          <w:i/>
        </w:rPr>
        <w:t>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source and focus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Label granularity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Relation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comments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Establishes pedagogical relevance, but not a public multi-aspect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Chathuranga et al.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course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Opinion targets and polarity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feasibility of real educational annotation, but with narrower task scope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opinion-term, and polarity annotations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Closest educational benchmark reference and strongest evidence of annotation cost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Nikolić et al.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Higher-education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Aspect-based review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source sensitivity and motivates explicit realism validation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 course reviews with separate realism and mapped real-transfer validation sets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20-aspect benchmark corpus, controllable prompt protocol, realism study, and conservative 9-aspect transfer check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Positions the contribution as synthetic supervision with initial external validation rather than a replacement for real annotated corpora</w:t>
            </w:r>
          </w:p>
        </w:tc>
      </w:tr>
    </w:tbl>
    <w:p>
      <w:pPr>
        <w:pStyle w:val="BodyText"/>
        <w:spacing w:before="240"/>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3"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1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pStyle w:val="BodyText"/>
        <w:jc w:val="center"/>
        <w:keepNext/>
        <w:keepLines/>
        <w:widowControl w:val="1"/>
      </w:pPr>
      <w:r>
        <w:drawing>
          <wp:inline>
            <wp:extent cx="5943600" cy="3046095"/>
            <wp:effectExtent b="0" l="0" r="0" t="0"/>
            <wp:docPr descr="Synthetic data generation pipeline" title="" id="15" name="Picture"/>
            <a:graphic>
              <a:graphicData uri="http://schemas.openxmlformats.org/drawingml/2006/picture">
                <pic:pic>
                  <pic:nvPicPr>
                    <pic:cNvPr descr="C:/Users/apart/AppData/Local/Temp/html2doc_svg_4CrBQU/svg_0.png" id="16" name="Picture"/>
                    <pic:cNvPicPr>
                      <a:picLocks noChangeArrowheads="1" noChangeAspect="1"/>
                    </pic:cNvPicPr>
                  </pic:nvPicPr>
                  <pic:blipFill>
                    <a:blip r:embed="rId14"/>
                    <a:stretch>
                      <a:fillRect/>
                    </a:stretch>
                  </pic:blipFill>
                  <pic:spPr bwMode="auto">
                    <a:xfrm>
                      <a:off x="0" y="0"/>
                      <a:ext cx="5943600" cy="304609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Supervision targets and contextual attributes are sampled separately, merged through a stabilized prompt, and exported as review-level benchmark records.</w:t>
      </w:r>
    </w:p>
    <w:bookmarkEnd w:id="17"/>
    <w:bookmarkStart w:id="18"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The evaluation side of the study uses a single shared contract. Every reported approach begins from the same review-level corpus and the same 8,000/1,000/1,000 split, so differences in outcome come from the modeling approach rather than from incompatible data conditions: one corpus, one split, one validation stage, and one held-out reporting stage. Validation is reserved for calibration and model choice, while mapped real-data transfer and generator-validation analyses are treated as complementary checks rather than replacements for the main synthetic benchmark.</w:t>
      </w:r>
    </w:p>
    <w:bookmarkEnd w:id="18"/>
    <w:bookmarkStart w:id="19"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19"/>
    <w:bookmarkStart w:id="20"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0"/>
    <w:bookmarkStart w:id="21"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contains an almost uniform distribution over one-, two-, and three-aspect reviews, with counts of 2,008, 1,969, and 2,007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1"/>
    <w:bookmarkStart w:id="22"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but still narrower roles than the main synthetic benchmark. The realism-validation pool contains 32 public OMSCS reviews drawn from four course pages:</w:t>
      </w:r>
      <w:r>
        <w:t xml:space="preserve">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 and</w:t>
      </w:r>
      <w:r>
        <w:t xml:space="preserve"> </w:t>
      </w:r>
      <w:r>
        <w:rPr>
          <w:rStyle w:val="VerbatimChar"/>
        </w:rPr>
        <w:t xml:space="preserve">CS-7641</w:t>
      </w:r>
      <w:r>
        <w:t xml:space="preserve">. These reviews are not used for training, validation, or test evaluation in the main ABSA benchmark; they are used only as blinded reference items in the real-versus-synthetic judge loop so that prompt changes can be checked against naturally occurring educational-review language. Separately, the external transfer evaluation uses the annotated student-feedback corpus of Herath et al. [11], conservatively mapped to a 9-aspect overlap with our schema. That mapped real set is used only for out-of-domain evaluation after synthetic training and validation. This distinction is important for interpretation: synthetic data define the main ABSA benchmark, while real data are reserved for generator analysis and external evaluation.</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pStyle w:val="TableCaption"/>
        <w:spacing w:before="280" w:after="60" w:line="240" w:lineRule="auto"/>
        <w:jc w:val="center"/>
        <w:keepNext/>
        <w:keepLines/>
        <w:widowControl w:val="1"/>
      </w:pPr>
      <w:r>
        <w:rPr>
          <w:b/>
          <w:i/>
        </w:rPr>
        <w:t>Table 2.</w:t>
      </w:r>
      <w:r>
        <w:rPr>
          <w:b w:val="0"/>
          <w:i/>
        </w:rPr>
        <w:t xml:space="preserve"> </w:t>
      </w:r>
      <w:r>
        <w:rPr>
          <w:b w:val="0"/>
          <w:i/>
        </w:rPr>
        <w:t>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attributes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Function in the generation protocol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Core context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course_name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course_level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semester_stage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student_background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Places the review in a recognizable educational situation so the same labels can appear under different student positions and course settings.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teaching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assessment_profile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instruction_delivery</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support_channel_experience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feedback_timing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the pedagogical substance of the review by varying what the student is reacting to, not only how the review sounds.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Linguistic diversity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writing_style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emotional_temperature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hedging_level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review_length_band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tone, compression, and rhetorical texture while preserving the declared aspect-sentiment targets.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Realism controls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review_shape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contradiction_pattern</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memory_anchor</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natural_noise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Discourages checklist-like coverage and overbalanced summaries by introducing the small irregularities common in human reviews.</w:t>
            </w:r>
          </w:p>
        </w:tc>
      </w:tr>
    </w:tbl>
    <w:p>
      <w:pPr>
        <w:pStyle w:val="BodyText"/>
        <w:spacing w:before="240"/>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2"/>
    <w:bookmarkEnd w:id="23"/>
    <w:bookmarkStart w:id="26" w:name="benchmark-task-and-evaluation-setup"/>
    <w:p>
      <w:pPr>
        <w:pStyle w:val="Heading2"/>
        <w:keepNext/>
        <w:keepLines/>
        <w:widowControl w:val="1"/>
      </w:pPr>
      <w:r>
        <w:t xml:space="preserve">4. Benchmark Task and Evaluation Setup</w:t>
      </w:r>
    </w:p>
    <w:bookmarkStart w:id="24"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4"/>
    <w:bookmarkStart w:id="25"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m:oMathPara>
    </w:p>
    <w:p>
      <w:pPr>
        <w:pStyle w:val="FirstParagraph"/>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m:oMathPara>
    </w:p>
    <w:p>
      <w:pPr>
        <w:pStyle w:val="FirstParagraph"/>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(Appendix A.11)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pStyle w:val="TableCaption"/>
        <w:spacing w:before="280" w:after="60" w:line="240" w:lineRule="auto"/>
        <w:jc w:val="center"/>
        <w:keepNext/>
        <w:keepLines/>
        <w:widowControl w:val="1"/>
      </w:pPr>
      <w:r>
        <w:rPr>
          <w:b/>
          <w:i/>
        </w:rPr>
        <w:t>Table 3.</w:t>
      </w:r>
      <w:r>
        <w:rPr>
          <w:b w:val="0"/>
          <w:i/>
        </w:rPr>
        <w:t xml:space="preserve"> </w:t>
      </w:r>
      <w:r>
        <w:rPr>
          <w:b w:val="0"/>
          <w:i/>
        </w:rPr>
        <w:t>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Modeling idea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variants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Role in the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Classical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sparse lexical detector plus sentiment regressor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Low-cost reference point under the same validation and test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Transformer encoders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supervised detection and sentiment models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albert-base-v2</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roberta-base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Primary discriminative comparison family on the full 10K / 20-aspect split.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Joint prediction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Single model predicts aspect presence and polarity together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bert_joint</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Used to test whether a compact joint formulation can match the stronger two-step decomposition.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Structured generation with demonstrations or retrieval context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w:t>
            </w:r>
            <w:r>
              <w:rPr>
                <w:rFonts w:ascii="Georgia" w:hAnsi="Georgia"/>
                <w:sz w:val="19"/>
              </w:rPr>
              <w:t xml:space="preserve"> </w:t>
            </w:r>
            <w:r>
              <w:rPr>
                <w:rFonts w:ascii="Georgia" w:hAnsi="Georgia"/>
                <w:sz w:val="19"/>
              </w:rPr>
              <w:t xml:space="preserve">zero-shot, few-shot, few-shot-diverse,</w:t>
            </w:r>
            <w:r>
              <w:rPr>
                <w:rFonts w:ascii="Georgia" w:hAnsi="Georgia"/>
                <w:sz w:val="19"/>
              </w:rPr>
              <w:t xml:space="preserve"> </w:t>
            </w:r>
            <w:r>
              <w:rPr>
                <w:rStyle w:val="VerbatimChar"/>
                <w:rFonts w:ascii="Georgia" w:hAnsi="Georgia"/>
                <w:sz w:val="19"/>
              </w:rPr>
              <w:t xml:space="preserve">retrieval-few-shot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Inference-only ABSA baselines under the same structured aspect-sentiment contract and the full held-out test split.</w:t>
            </w:r>
          </w:p>
        </w:tc>
      </w:tr>
    </w:tbl>
    <w:p>
      <w:pPr>
        <w:pStyle w:val="BodyText"/>
        <w:spacing w:before="240"/>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pStyle w:val="TableCaption"/>
        <w:spacing w:before="280" w:after="60" w:line="240" w:lineRule="auto"/>
        <w:jc w:val="center"/>
        <w:keepNext/>
        <w:keepLines/>
        <w:widowControl w:val="1"/>
      </w:pPr>
      <w:r>
        <w:rPr>
          <w:b/>
          <w:i/>
        </w:rPr>
        <w:t>Table 4.</w:t>
      </w:r>
      <w:r>
        <w:rPr>
          <w:b w:val="0"/>
          <w:i/>
        </w:rPr>
        <w:t xml:space="preserve"> </w:t>
      </w:r>
      <w:r>
        <w:rPr>
          <w:b w:val="0"/>
          <w:i/>
        </w:rPr>
        <w:t>Exact corpus-level counts and ranges for the synthetic benchmark and the two real-data pools used in realism analysis and external transfer. The table provides the precise summary values that complement the broader visual distribution shown later in Figure 3.</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Clean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Usable synthetic records in the final corpus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validation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OMSCS reviews used only for the realism-validation loop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Mapped external test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Annotated student-feedback reviews from Herath et al. used only for synthetic-to-real evaluation on a 9-aspect overlap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 names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Multiple academic contexts rather than a single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Observed writing styles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Style-conditioned prompting remains present in the assembled dataset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inventory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benchmark runs directly on the 20-aspect pedagogical schema listed in Appendix A.1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117.2 / 108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corpus mixes short comments with longer reflective reviews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aspects per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Many reviews are genuinely multi-aspect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Min-max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34-273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Substantial variation in compression and detail remains visible even after length controls</w:t>
            </w:r>
          </w:p>
        </w:tc>
      </w:tr>
    </w:tbl>
    <w:bookmarkEnd w:id="25"/>
    <w:bookmarkEnd w:id="26"/>
    <w:bookmarkStart w:id="58" w:name="results"/>
    <w:p>
      <w:pPr>
        <w:pStyle w:val="Heading2"/>
        <w:keepNext/>
        <w:keepLines/>
        <w:widowControl w:val="1"/>
      </w:pPr>
      <w:r>
        <w:t xml:space="preserve">5. Results</w:t>
      </w:r>
    </w:p>
    <w:p>
      <w:pPr>
        <w:pStyle w:val="FirstParagraph"/>
        <w:jc w:val="both"/>
        <w:keepNext w:val="0"/>
        <w:keepLines w:val="0"/>
        <w:widowControl w:val="1"/>
      </w:pPr>
      <w:r>
        <w:t xml:space="preserve">The results are presented in the same order as the paper's claim structure. We begin with the corpus itself, then report the main local benchmark, then the full-test GPT and real-data comparisons, and only afterward return to generator-quality diagnostics, focusing on label faithfulness and a faithfulness-aware filtering recipe. This ordering is intentional: the central claim concerns the value of the synthetic corpus as an educational ABSA benchmark resource, whereas faithfulness analysis explains the strengths and limits of the generation process. Corpus-scale output-control statistics and the three-cycle realism-validation procedure are generator diagnostics reported in full in the appendix.</w:t>
      </w:r>
    </w:p>
    <w:p>
      <w:pPr>
        <w:pStyle w:val="BodyText"/>
        <w:jc w:val="center"/>
        <w:keepNext/>
        <w:keepLines/>
        <w:widowControl w:val="1"/>
      </w:pPr>
      <w:r>
        <w:drawing>
          <wp:inline>
            <wp:extent cx="5943600" cy="4272623"/>
            <wp:effectExtent b="0" l="0" r="0" t="0"/>
            <wp:docPr descr="Aspect sentiment heatmap" title="" id="28" name="Picture"/>
            <a:graphic>
              <a:graphicData uri="http://schemas.openxmlformats.org/drawingml/2006/picture">
                <pic:pic>
                  <pic:nvPicPr>
                    <pic:cNvPr descr="C:/Users/apart/AppData/Local/Temp/html2doc_svg_4CrBQU/svg_1.png" id="29" name="Picture"/>
                    <pic:cNvPicPr>
                      <a:picLocks noChangeArrowheads="1" noChangeAspect="1"/>
                    </pic:cNvPicPr>
                  </pic:nvPicPr>
                  <pic:blipFill>
                    <a:blip r:embed="rId27"/>
                    <a:stretch>
                      <a:fillRect/>
                    </a:stretch>
                  </pic:blipFill>
                  <pic:spPr bwMode="auto">
                    <a:xfrm>
                      <a:off x="0" y="0"/>
                      <a:ext cx="5943600" cy="4272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Aspect-level label support across the 10K / 20-aspect corpus. The heatmap shows polarity composition for each aspect, ordered by total support, and the companion bar panel shows the total number of labeled mentions per aspect.</w:t>
      </w:r>
    </w:p>
    <w:p>
      <w:pPr>
        <w:pStyle w:val="BodyText"/>
        <w:jc w:val="center"/>
        <w:keepNext/>
        <w:keepLines/>
        <w:widowControl w:val="1"/>
      </w:pPr>
      <w:r>
        <w:drawing>
          <wp:inline>
            <wp:extent cx="5943600" cy="3877108"/>
            <wp:effectExtent b="0" l="0" r="0" t="0"/>
            <wp:docPr descr="Corpus profile" title="" id="31" name="Picture"/>
            <a:graphic>
              <a:graphicData uri="http://schemas.openxmlformats.org/drawingml/2006/picture">
                <pic:pic>
                  <pic:nvPicPr>
                    <pic:cNvPr descr="C:/Users/apart/AppData/Local/Temp/html2doc_svg_4CrBQU/svg_2.png" id="32" name="Picture"/>
                    <pic:cNvPicPr>
                      <a:picLocks noChangeArrowheads="1" noChangeAspect="1"/>
                    </pic:cNvPicPr>
                  </pic:nvPicPr>
                  <pic:blipFill>
                    <a:blip r:embed="rId30"/>
                    <a:stretch>
                      <a:fillRect/>
                    </a:stretch>
                  </pic:blipFill>
                  <pic:spPr bwMode="auto">
                    <a:xfrm>
                      <a:off x="0" y="0"/>
                      <a:ext cx="5943600" cy="387710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Corpus profile and diversity cues. The panels visualize the distributional shape of review length, aspect-count mixture, course coverage, and observed style cues, while Table 4 provides the corresponding exact summary values.</w:t>
      </w:r>
    </w:p>
    <w:bookmarkStart w:id="33" w:name="X5eb33c01c0cf011bf7399e1ac1b2f733297275e"/>
    <w:p>
      <w:pPr>
        <w:pStyle w:val="Heading3"/>
        <w:keepNext/>
        <w:keepLines/>
        <w:widowControl w:val="1"/>
      </w:pPr>
      <w:r>
        <w:t xml:space="preserve">5.1 Corpus Profile and Representative Examples</w:t>
      </w:r>
    </w:p>
    <w:p>
      <w:pPr>
        <w:pStyle w:val="FirstParagraph"/>
        <w:jc w:val="both"/>
        <w:keepNext w:val="0"/>
        <w:keepLines w:val="0"/>
        <w:widowControl w:val="1"/>
      </w:pPr>
      <w:r>
        <w:t xml:space="preserve">Figure 2 and Figure 3 establish the corpus-level structure before any model results are introduced. Figure 2 shows how label support is distributed across aspects and sentiment polarities, which makes it easier to distinguish heavily represented pedagogical dimensions from thinner parts of the schema. Figure 3 complements that view with review length, aspect-count mixture, course coverage, and style variation. Table 5 then gives a qualitative sense of how these distributions appear in actual review text. These examples are included to help the reader interpret the benchmark qualitatively, not as a substitute for aggregate model evidence.</w:t>
      </w:r>
    </w:p>
    <w:p>
      <w:pPr>
        <w:pStyle w:val="TableCaption"/>
        <w:spacing w:before="280" w:after="60" w:line="240" w:lineRule="auto"/>
        <w:jc w:val="center"/>
        <w:keepNext/>
        <w:keepLines/>
        <w:widowControl w:val="1"/>
      </w:pPr>
      <w:r>
        <w:rPr>
          <w:b/>
          <w:i/>
        </w:rPr>
        <w:t>Table 5.</w:t>
      </w:r>
      <w:r>
        <w:rPr>
          <w:b w:val="0"/>
          <w:i/>
        </w:rPr>
        <w:t xml:space="preserve"> </w:t>
      </w:r>
      <w:r>
        <w:rPr>
          <w:b w:val="0"/>
          <w:i/>
        </w:rPr>
        <w:t>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5.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Example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Style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labels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Excerpt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Tradeoff-heavy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Neutral everyday prose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difficulty=positive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materials=positive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took Computer Networks mainly to fit my schedule ... the material felt accessible at times ... Dr. Chen’s delivery varies week to week ... the LMS was smooth, but feedback came too late to be useful."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Compressed complaint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stuck with Cyber Security Basics only when I needed it ... the lead-in theory never clicked for me ... the few but heavy deadlines left me frustrated but still fair about the effort."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Pedagogical frustration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assessment_design=negative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relevance=negative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"Data Structures felt like a required hurdle more than a doorway to real understanding ... the assessments were exhausting and overbearing ... even when I passed a task, I was not convinced it reflected useful learning."</w:t>
            </w:r>
          </w:p>
        </w:tc>
      </w:tr>
    </w:tbl>
    <w:bookmarkEnd w:id="33"/>
    <w:bookmarkStart w:id="34" w:name="scope-of-reported-analyses"/>
    <w:p>
      <w:pPr>
        <w:pStyle w:val="Heading3"/>
        <w:keepNext/>
        <w:keepLines/>
        <w:widowControl w:val="1"/>
      </w:pPr>
      <w:r>
        <w:t xml:space="preserve">5.2 Scope of Reported Analyses</w:t>
      </w:r>
    </w:p>
    <w:p>
      <w:pPr>
        <w:pStyle w:val="TableCaption"/>
        <w:spacing w:before="280" w:after="60" w:line="240" w:lineRule="auto"/>
        <w:jc w:val="center"/>
        <w:keepNext/>
        <w:keepLines/>
        <w:widowControl w:val="1"/>
      </w:pPr>
      <w:r>
        <w:rPr>
          <w:b/>
          <w:i/>
        </w:rPr>
        <w:t>Table 6.</w:t>
      </w:r>
      <w:r>
        <w:rPr>
          <w:b w:val="0"/>
          <w:i/>
        </w:rPr>
        <w:t xml:space="preserve"> </w:t>
      </w:r>
      <w:r>
        <w:rPr>
          <w:b w:val="0"/>
          <w:i/>
        </w:rPr>
        <w:t>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6.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Analysis block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and 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Primary outputs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Interpretive role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 generated reviews with an 8,000 / 1,000 / 1,000 train-validation-test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Detection F1, sentiment MSE, runtime, per-aspect summaries, and robustness analyses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Principal evidence for learnability and model comparison on the 20-aspect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same 1,000-review held-out synthetic test split, evaluated through batch 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Structured sparse JSON predictions and full-test detection/sentiment metrics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Inference-time comparison under the same label contract as the learned local models.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External mapped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 mapped Herath student-feedback reviews over the shared 9-aspect overlap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Transfer metrics, overlap support counts, and overlap-matched synthetic-versus-real comparisons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Conservative real-data check on whether synthetic supervision connects to one annotated educational feedback space.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Realism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60-item cycles built from public OMSCS reviews and matched synthetic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 accuracy, confusion, entropy, cue tags, and prompt-state transitions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Generator-side validation showing how realism cues were diagnosed and reduced across cycles.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Faithfulness audit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 250-review full-corpus sample plus the 25-review pilot subset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Aspect support rates and sentiment-match rates between declared labels and textual evidence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Clarifies how the benchmark should be interpreted as a useful but imperfect supervised resource.</w:t>
            </w:r>
          </w:p>
        </w:tc>
      </w:tr>
    </w:tbl>
    <w:p>
      <w:pPr>
        <w:pStyle w:val="BodyText"/>
        <w:spacing w:before="240"/>
        <w:jc w:val="both"/>
        <w:keepNext w:val="0"/>
        <w:keepLines w:val="0"/>
        <w:widowControl w:val="1"/>
      </w:pPr>
      <w:r>
        <w:t xml:space="preserve">Table 6 therefore complements rather than repeats Table 3. Table 3 says which method families are executed, while Table 6 says what each analysis block is meant to establish, which split it uses, and how it should be interpreted alongside the main benchmark.</w:t>
      </w:r>
    </w:p>
    <w:bookmarkEnd w:id="34"/>
    <w:bookmarkStart w:id="38" w:name="Xb756ca2b27320c8b9bc4788dcc281a891af5b5f"/>
    <w:p>
      <w:pPr>
        <w:pStyle w:val="Heading3"/>
        <w:keepNext/>
        <w:keepLines/>
        <w:widowControl w:val="1"/>
      </w:pPr>
      <w:r>
        <w:t xml:space="preserve">5.3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micro-F1 at 0.2760 with a detected-aspect sentiment MSE of 0.4959, followed by</w:t>
      </w:r>
      <w:r>
        <w:t xml:space="preserve"> </w:t>
      </w:r>
      <w:r>
        <w:rPr>
          <w:rStyle w:val="VerbatimChar"/>
        </w:rPr>
        <w:t xml:space="preserve">distilbert-base-uncased</w:t>
      </w:r>
      <w:r>
        <w:t xml:space="preserve"> </w:t>
      </w:r>
      <w:r>
        <w:t xml:space="preserve">at 0.2691. The joint variants remain competitive but lower, with</w:t>
      </w:r>
      <w:r>
        <w:t xml:space="preserve"> </w:t>
      </w:r>
      <w:r>
        <w:rPr>
          <w:rStyle w:val="VerbatimChar"/>
        </w:rPr>
        <w:t xml:space="preserve">distilbert_joint</w:t>
      </w:r>
      <w:r>
        <w:t xml:space="preserve"> </w:t>
      </w:r>
      <w:r>
        <w:t xml:space="preserve">at 0.2524 and</w:t>
      </w:r>
      <w:r>
        <w:t xml:space="preserve"> </w:t>
      </w:r>
      <w:r>
        <w:rPr>
          <w:rStyle w:val="VerbatimChar"/>
        </w:rPr>
        <w:t xml:space="preserve">bert_joint</w:t>
      </w:r>
      <w:r>
        <w:t xml:space="preserve"> </w:t>
      </w:r>
      <w:r>
        <w:t xml:space="preserve">at 0.2447, which supports the two-step decomposition as the clearest baseline family in this benchmark.</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collapse to recall 1.000 at micro-F1 0.183, and the resulting false positives inflate downstream sentiment MSE to 0.577 and 0.684 respectively. In this sense, Table 7 shows that the benchmark rewards models that recover many aspect mentions without collapsing into broad positive prediction.</w:t>
      </w:r>
    </w:p>
    <w:p>
      <w:pPr>
        <w:pStyle w:val="BodyText"/>
        <w:jc w:val="both"/>
        <w:keepNext w:val="0"/>
        <w:keepLines w:val="0"/>
        <w:widowControl w:val="1"/>
      </w:pPr>
      <w:r>
        <w:t xml:space="preserve">Part of the moderate ceiling is a property of the labels rather than of the models. The held-out test split carries the same label faithfulness as the training corpus: under the full-corpus</w:t>
      </w:r>
      <w:r>
        <w:t xml:space="preserve"> </w:t>
      </w:r>
      <w:r>
        <w:rPr>
          <w:rStyle w:val="VerbatimChar"/>
        </w:rPr>
        <w:t xml:space="preserve">gpt-4.1-mini</w:t>
      </w:r>
      <w:r>
        <w:t xml:space="preserve"> </w:t>
      </w:r>
      <w:r>
        <w:t xml:space="preserve">audit (Section 5.9), the 1,000-review held-out split has a mean per-row aspect-sentiment match rate of 0.58, statistically identical to the 0.58 of the full 10K. A held-out score is bounded by the faithfulness of the held-out labels, so a portion of the unrecovered detection F1 reflects test rows whose declared polarity is not visibly supported in the text rather than model limitation alone. This is directly measurable: re-scoring the trained</w:t>
      </w:r>
      <w:r>
        <w:t xml:space="preserve"> </w:t>
      </w:r>
      <w:r>
        <w:rPr>
          <w:rStyle w:val="VerbatimChar"/>
        </w:rPr>
        <w:t xml:space="preserve">bert-base-uncased</w:t>
      </w:r>
      <w:r>
        <w:t xml:space="preserve"> </w:t>
      </w:r>
      <w:r>
        <w:t xml:space="preserve">detector on the faithful subset of the test split (the rows whose declared aspects are all supported) lifts micro-F1 from 0.277 (95% CI [0.270, 0.285]) on the full 1,000-review test set to 0.307 ([0.277, 0.337]) on the faithful subset, a paired gain of +0.030 (95% bootstrap CI [0.006, 0.054], higher in all four seeds). The model recovers labels more accurately exactly where the labels are faithful, which is the same signal the faithfulness-aware filtering in Section 5.9 exploits on the training side. The benchmark is therefore positioned as a controllable resource with an explicit, measurable label-noise level rather than as a saturated leaderboard.</w:t>
      </w:r>
    </w:p>
    <w:p>
      <w:pPr>
        <w:pStyle w:val="BodyText"/>
        <w:jc w:val="both"/>
        <w:keepNext w:val="0"/>
        <w:keepLines w:val="0"/>
        <w:widowControl w:val="1"/>
      </w:pPr>
      <w:r>
        <w:t xml:space="preserve">Three controls establish that this signal is genuine rather than an artifact of label frequencies. First, a label-permutation control, retraining with the text-to-label correspondence destroyed, collapses detection micro-F1 to 0.182 (95% CI [0.177, 0.187]), indistinguishable from the strongest trivial baseline (predict-all-present, 0.183) and 0.094 below the real-label 0.277; the recovered F1 thus comes from text that genuinely predicts the labels. Second, detection scales monotonically with training data, from 0.183 at 250 reviews to 0.285 at 8,000, increasing in every seed with no plateau. Third, the learned model clears every trivial floor (predict-all-present 0.183, predict-by-frequency 0.000, random-at-prevalence 0.101) by at least 0.093. Consistent with the label-noise account, restricting both training and test to faithful rows raises micro-F1 to 0.319 ([0.290, 0.348], +0.043 over the full corpus) at audit row-score 1.0 and 0.340 ([0.332, 0.348], +0.064) at row-score 0.5 or above.</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Appendix A.10 reports these complementary diagnostics for the principal synthetic-benchmark, GPT-based, and mapped real-data comparisons.</w:t>
      </w:r>
    </w:p>
    <w:p>
      <w:pPr>
        <w:pStyle w:val="BodyText"/>
        <w:jc w:val="both"/>
        <w:keepNext w:val="0"/>
        <w:keepLines w:val="0"/>
        <w:widowControl w:val="1"/>
      </w:pPr>
      <w:r>
        <w:t xml:space="preserve">Table 7 provides the exact values for the executed local benchmark. Figure 4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pStyle w:val="TableCaption"/>
        <w:spacing w:before="280" w:after="60" w:line="240" w:lineRule="auto"/>
        <w:jc w:val="center"/>
        <w:keepNext/>
        <w:keepLines/>
        <w:widowControl w:val="1"/>
      </w:pPr>
      <w:r>
        <w:rPr>
          <w:b/>
          <w:i/>
        </w:rPr>
        <w:t>Table 7.</w:t>
      </w:r>
      <w:r>
        <w:rPr>
          <w:b w:val="0"/>
          <w:i/>
        </w:rPr>
        <w:t xml:space="preserve"> </w:t>
      </w:r>
      <w:r>
        <w:rPr>
          <w:b w:val="0"/>
          <w:i/>
        </w:rPr>
        <w:t>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7.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albert-base-v2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22.33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roberta-base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0.6838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22.19</w:t>
            </w:r>
          </w:p>
        </w:tc>
      </w:tr>
    </w:tbl>
    <w:p>
      <w:pPr>
        <w:pStyle w:val="BodyText"/>
        <w:jc w:val="center"/>
        <w:keepNext/>
        <w:keepLines/>
        <w:widowControl w:val="1"/>
      </w:pPr>
      <w:r>
        <w:drawing>
          <wp:inline>
            <wp:extent cx="5943600" cy="2241927"/>
            <wp:effectExtent b="0" l="0" r="0" t="0"/>
            <wp:docPr descr="Benchmark comparison" title="" id="36" name="Picture"/>
            <a:graphic>
              <a:graphicData uri="http://schemas.openxmlformats.org/drawingml/2006/picture">
                <pic:pic>
                  <pic:nvPicPr>
                    <pic:cNvPr descr="C:/Users/apart/AppData/Local/Temp/html2doc_svg_4CrBQU/svg_3.png" id="37" name="Picture"/>
                    <pic:cNvPicPr>
                      <a:picLocks noChangeArrowheads="1" noChangeAspect="1"/>
                    </pic:cNvPicPr>
                  </pic:nvPicPr>
                  <pic:blipFill>
                    <a:blip r:embed="rId35"/>
                    <a:stretch>
                      <a:fillRect/>
                    </a:stretch>
                  </pic:blipFill>
                  <pic:spPr bwMode="auto">
                    <a:xfrm>
                      <a:off x="0" y="0"/>
                      <a:ext cx="5943600" cy="22419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bookmarkEnd w:id="38"/>
    <w:bookmarkStart w:id="39" w:name="gpt-based-inference-methods"/>
    <w:p>
      <w:pPr>
        <w:pStyle w:val="Heading3"/>
        <w:keepNext/>
        <w:keepLines/>
        <w:widowControl w:val="1"/>
      </w:pPr>
      <w:r>
        <w:t xml:space="preserve">5.4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pStyle w:val="TableCaption"/>
        <w:spacing w:before="280" w:after="60" w:line="240" w:lineRule="auto"/>
        <w:jc w:val="center"/>
        <w:keepNext/>
        <w:keepLines/>
        <w:widowControl w:val="1"/>
      </w:pPr>
      <w:r>
        <w:rPr>
          <w:b/>
          <w:i/>
        </w:rPr>
        <w:t>Table 8.</w:t>
      </w:r>
      <w:r>
        <w:rPr>
          <w:b w:val="0"/>
          <w:i/>
        </w:rPr>
        <w:t xml:space="preserve"> </w:t>
      </w:r>
      <w:r>
        <w:rPr>
          <w:b w:val="0"/>
          <w:i/>
        </w:rPr>
        <w:t>Full-test GPT-based ABSA inference results under the same structured aspect-sentiment output contract used in the batch evaluation pipeline.</w:t>
      </w:r>
    </w:p>
    <w:tbl>
      <w:tblPr>
        <w:tblStyle w:val="Table"/>
        <w:tblW w:type="pct" w:w="5000"/>
        <w:jc w:val="center"/>
        <w:tblLook w:firstRow="1" w:lastRow="0" w:firstColumn="0" w:lastColumn="0" w:noHBand="0" w:noVBand="0" w:val="0020"/>
        <w:tblCaption w:val="Table 8.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0.3045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0.7325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0.2261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0.2946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0.7386</w:t>
            </w:r>
          </w:p>
        </w:tc>
      </w:tr>
    </w:tbl>
    <w:p>
      <w:pPr>
        <w:pStyle w:val="BodyText"/>
        <w:spacing w:before="240"/>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bookmarkEnd w:id="39"/>
    <w:bookmarkStart w:id="43" w:name="per-aspect-behavior-of-the-best-model"/>
    <w:p>
      <w:pPr>
        <w:pStyle w:val="Heading3"/>
        <w:keepNext/>
        <w:keepLines/>
        <w:widowControl w:val="1"/>
      </w:pPr>
      <w:r>
        <w:t xml:space="preserve">5.5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w:t>
      </w:r>
    </w:p>
    <w:p>
      <w:pPr>
        <w:pStyle w:val="BodyText"/>
        <w:jc w:val="center"/>
        <w:keepNext/>
        <w:keepLines/>
        <w:widowControl w:val="1"/>
      </w:pPr>
      <w:r>
        <w:drawing>
          <wp:inline>
            <wp:extent cx="5943600" cy="4255881"/>
            <wp:effectExtent b="0" l="0" r="0" t="0"/>
            <wp:docPr descr="Best-model per-aspect benchmark" title="" id="41" name="Picture"/>
            <a:graphic>
              <a:graphicData uri="http://schemas.openxmlformats.org/drawingml/2006/picture">
                <pic:pic>
                  <pic:nvPicPr>
                    <pic:cNvPr descr="C:/Users/apart/AppData/Local/Temp/html2doc_svg_4CrBQU/svg_4.png" id="42" name="Picture"/>
                    <pic:cNvPicPr>
                      <a:picLocks noChangeArrowheads="1" noChangeAspect="1"/>
                    </pic:cNvPicPr>
                  </pic:nvPicPr>
                  <pic:blipFill>
                    <a:blip r:embed="rId40"/>
                    <a:stretch>
                      <a:fillRect/>
                    </a:stretch>
                  </pic:blipFill>
                  <pic:spPr bwMode="auto">
                    <a:xfrm>
                      <a:off x="0" y="0"/>
                      <a:ext cx="5943600" cy="425588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pStyle w:val="TableCaption"/>
        <w:spacing w:before="280" w:after="60" w:line="240" w:lineRule="auto"/>
        <w:jc w:val="center"/>
        <w:keepNext/>
        <w:keepLines/>
        <w:widowControl w:val="1"/>
      </w:pPr>
      <w:r>
        <w:rPr>
          <w:b/>
          <w:i/>
        </w:rPr>
        <w:t>Table 9.</w:t>
      </w:r>
      <w:r>
        <w:rPr>
          <w:b w:val="0"/>
          <w:i/>
        </w:rPr>
        <w:t xml:space="preserve"> </w:t>
      </w:r>
      <w:r>
        <w:rPr>
          <w:b w:val="0"/>
          <w:i/>
        </w:rPr>
        <w:t>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9.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0.5513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0.4486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0.8049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0.6458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peer_interaction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0.1385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0.8416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0.3913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0.0841</w:t>
            </w:r>
          </w:p>
        </w:tc>
      </w:tr>
    </w:tbl>
    <w:bookmarkEnd w:id="43"/>
    <w:bookmarkStart w:id="50" w:name="X0ce3c8ca12618df96c03a79330ef5a35c7801ef"/>
    <w:p>
      <w:pPr>
        <w:pStyle w:val="Heading3"/>
        <w:keepNext/>
        <w:keepLines/>
        <w:widowControl w:val="1"/>
      </w:pPr>
      <w:r>
        <w:t xml:space="preserve">5.6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11 makes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A real-trained reference point puts this transfer in context. Training the same</w:t>
      </w:r>
      <w:r>
        <w:t xml:space="preserve"> </w:t>
      </w:r>
      <w:r>
        <w:rPr>
          <w:rStyle w:val="VerbatimChar"/>
        </w:rPr>
        <w:t xml:space="preserve">bert-base-uncased</w:t>
      </w:r>
      <w:r>
        <w:t xml:space="preserve"> </w:t>
      </w:r>
      <w:r>
        <w:t xml:space="preserve">detector on a real-Herath split and evaluating it on held-out real Herath, over the identical nine-aspect detection metric, reaches micro-F1 0.767 (95% CI [0.734, 0.800], four seeds, roughly 1,980 train / 566 test reviews). Against this same-task upper reference, the synthetic-only 0.4593, obtained with no real training data at all, recovers about 60% of real-trained performance, which is the relevant property when no labeled institutional data are available. This is consistent with the corpus authors' own published baselines on the real data (F1 0.64 for target-oriented opinion and aspect-term extraction and 0.75 for aspect-level sentiment, using fine-tuned BERT- and RoBERTa-family encoders [11]), which use different task formulations and so serve as additional context rather than a matched comparison.</w:t>
      </w:r>
    </w:p>
    <w:p>
      <w:pPr>
        <w:pStyle w:val="BodyText"/>
        <w:jc w:val="both"/>
        <w:keepNext w:val="0"/>
        <w:keepLines w:val="0"/>
        <w:widowControl w:val="1"/>
      </w:pPr>
      <w:r>
        <w:t xml:space="preserve">The synthetic corpus is moreover a useful initializer, not only a standalone training set. Pretraining the nine-aspect detector on the synthetic corpus and then fine-tuning it on the real-Herath train split reaches micro-F1 0.784 (95% CI [0.758, 0.809], four seeds), above the real-only baseline of 0.767 and far above the synthetic-only transfer of 0.459. Synthetic supervision therefore improves a real-data model rather than merely substituting for one, which is the property that matters for the institutional bootstrapping setting of Section 6.2: a program can pretrain on the shared synthetic corpus and fine-tune on a small adjudicated slice of its own reviews to exceed what either source supports alone.</w:t>
      </w:r>
    </w:p>
    <w:p>
      <w:pPr>
        <w:pStyle w:val="TableCaption"/>
        <w:spacing w:before="280" w:after="60" w:line="240" w:lineRule="auto"/>
        <w:jc w:val="center"/>
        <w:keepNext/>
        <w:keepLines/>
        <w:widowControl w:val="1"/>
      </w:pPr>
      <w:r>
        <w:rPr>
          <w:b/>
          <w:i/>
        </w:rPr>
        <w:t>Table 10.</w:t>
      </w:r>
      <w:r>
        <w:rPr>
          <w:b w:val="0"/>
          <w:i/>
        </w:rPr>
        <w:t xml:space="preserve"> </w:t>
      </w:r>
      <w:r>
        <w:rPr>
          <w:b w:val="0"/>
          <w:i/>
        </w:rPr>
        <w:t>Exact synthetic-to-real transfer scores on the mapped Herath benchmark over the conservative nine-aspect overlap. The table gives the precise model values, while Figure 6 adds the overlap-support context needed to interpret them.</w:t>
      </w:r>
    </w:p>
    <w:tbl>
      <w:tblPr>
        <w:tblStyle w:val="Table"/>
        <w:tblW w:type="pct" w:w="5000"/>
        <w:jc w:val="center"/>
        <w:tblLook w:firstRow="1" w:lastRow="0" w:firstColumn="0" w:lastColumn="0" w:noHBand="0" w:noVBand="0" w:val="0020"/>
        <w:tblCaption w:val="Table 10. Exact synthetic-to-real transfer scores on the mapped Herath benchmark over the conservative nine-aspect overlap. The table gives the precise model values, while Figure 6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Real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Overlap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0.6764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0.4017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bl>
    <w:p>
      <w:pPr>
        <w:pStyle w:val="BodyText"/>
        <w:jc w:val="center"/>
        <w:keepNext/>
        <w:keepLines/>
        <w:widowControl w:val="1"/>
      </w:pPr>
      <w:r>
        <w:drawing>
          <wp:inline>
            <wp:extent cx="5943600" cy="2117672"/>
            <wp:effectExtent b="0" l="0" r="0" t="0"/>
            <wp:docPr descr="External validation on mapped real student feedback" title="" id="45" name="Picture"/>
            <a:graphic>
              <a:graphicData uri="http://schemas.openxmlformats.org/drawingml/2006/picture">
                <pic:pic>
                  <pic:nvPicPr>
                    <pic:cNvPr descr="C:/Users/apart/AppData/Local/Temp/html2doc_svg_4CrBQU/svg_5.png" id="46" name="Picture"/>
                    <pic:cNvPicPr>
                      <a:picLocks noChangeArrowheads="1" noChangeAspect="1"/>
                    </pic:cNvPicPr>
                  </pic:nvPicPr>
                  <pic:blipFill>
                    <a:blip r:embed="rId44"/>
                    <a:stretch>
                      <a:fillRect/>
                    </a:stretch>
                  </pic:blipFill>
                  <pic:spPr bwMode="auto">
                    <a:xfrm>
                      <a:off x="0" y="0"/>
                      <a:ext cx="5943600" cy="21176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External validation on mapped real student feedback. The left panel provides overlap-support context from the mapped Herath corpus, while the center and right panels visualize the transfer scores reported exactly in Table 10. The figure supports a partial-transfer claim only for the conservative 9-aspect overlap.</w:t>
      </w:r>
    </w:p>
    <w:p>
      <w:pPr>
        <w:pStyle w:val="BodyText"/>
        <w:jc w:val="center"/>
        <w:keepNext/>
        <w:keepLines/>
        <w:widowControl w:val="1"/>
      </w:pPr>
      <w:r>
        <w:drawing>
          <wp:inline>
            <wp:extent cx="5943600" cy="3208618"/>
            <wp:effectExtent b="0" l="0" r="0" t="0"/>
            <wp:docPr descr="Overlap-matched internal versus external comparison" title="" id="48" name="Picture"/>
            <a:graphic>
              <a:graphicData uri="http://schemas.openxmlformats.org/drawingml/2006/picture">
                <pic:pic>
                  <pic:nvPicPr>
                    <pic:cNvPr descr="C:/Users/apart/AppData/Local/Temp/html2doc_svg_4CrBQU/svg_6.png" id="49" name="Picture"/>
                    <pic:cNvPicPr>
                      <a:picLocks noChangeArrowheads="1" noChangeAspect="1"/>
                    </pic:cNvPicPr>
                  </pic:nvPicPr>
                  <pic:blipFill>
                    <a:blip r:embed="rId47"/>
                    <a:stretch>
                      <a:fillRect/>
                    </a:stretch>
                  </pic:blipFill>
                  <pic:spPr bwMode="auto">
                    <a:xfrm>
                      <a:off x="0" y="0"/>
                      <a:ext cx="5943600" cy="320861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rPr>
        <w:t>Overlap-matched internal versus external comparison on the same nine aspects. The absence of a uniform external drop indicates that the mapped real benchmark is partly shaped by overlap support and aspect composition rather than only by domain shift.</w:t>
      </w:r>
    </w:p>
    <w:p>
      <w:pPr>
        <w:pStyle w:val="TableCaption"/>
        <w:spacing w:before="280" w:after="60" w:line="240" w:lineRule="auto"/>
        <w:jc w:val="center"/>
        <w:keepNext/>
        <w:keepLines/>
        <w:widowControl w:val="1"/>
      </w:pPr>
      <w:r>
        <w:rPr>
          <w:b/>
          <w:i/>
        </w:rPr>
        <w:t>Table 11.</w:t>
      </w:r>
      <w:r>
        <w:rPr>
          <w:b w:val="0"/>
          <w:i/>
        </w:rPr>
        <w:t xml:space="preserve"> </w:t>
      </w:r>
      <w:r>
        <w:rPr>
          <w:b w:val="0"/>
          <w:i/>
        </w:rPr>
        <w:t>Side-by-side comparison on the shared nine-aspect space, contrasting the same models on the synthetic overlap test split and the mapped real-data benchmark.</w:t>
      </w:r>
    </w:p>
    <w:tbl>
      <w:tblPr>
        <w:tblStyle w:val="Table"/>
        <w:tblW w:type="pct" w:w="5000"/>
        <w:jc w:val="center"/>
        <w:tblLook w:firstRow="1" w:lastRow="0" w:firstColumn="0" w:lastColumn="0" w:noHBand="0" w:noVBand="0" w:val="0020"/>
        <w:tblCaption w:val="Table 11.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Δ real minus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0.3914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0.3811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0.7019</w:t>
            </w:r>
          </w:p>
        </w:tc>
      </w:tr>
    </w:tbl>
    <w:p/>
    <w:p>
      <w:pPr>
        <w:pStyle w:val="TableCaption"/>
        <w:spacing w:before="280" w:after="60" w:line="240" w:lineRule="auto"/>
        <w:jc w:val="center"/>
        <w:keepNext/>
        <w:keepLines/>
        <w:widowControl w:val="1"/>
      </w:pPr>
      <w:r>
        <w:rPr>
          <w:b/>
          <w:i/>
        </w:rPr>
        <w:t>Table 12.</w:t>
      </w:r>
      <w:r>
        <w:rPr>
          <w:b w:val="0"/>
          <w:i/>
        </w:rPr>
        <w:t xml:space="preserve"> </w:t>
      </w:r>
      <w:r>
        <w:rPr>
          <w:b w:val="0"/>
          <w:i/>
        </w:rPr>
        <w:t>Prior real-data educational sentiment results included for context; the final column states how directly each study compares to the present benchmark.</w:t>
      </w:r>
    </w:p>
    <w:tbl>
      <w:tblPr>
        <w:tblStyle w:val="Table"/>
        <w:tblW w:type="pct" w:w="5000"/>
        <w:jc w:val="center"/>
        <w:tblLook w:firstRow="1" w:lastRow="0" w:firstColumn="0" w:lastColumn="0" w:noHBand="0" w:noVBand="0" w:val="0020"/>
        <w:tblCaption w:val="Table 12.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Reported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Comparability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automatically extracted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0.586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toward courses and instructors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entity-targeted sentiment is narrower than review-level 20-aspect ABSA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ground-truth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0.695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with gold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useful upper-bound reference, but not a directly matched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closest real educational sentiment benchmark, but different label unit and task structure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best tree-based ALSC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classification with FT-RoBERTa induced RGAT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stronger educational baseline under their own annotation protocol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Mapped Herath overlap after synthetic training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micro-F1 = 0.4593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Synthetic-to-real transfer on a 9-aspect overlap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Medium; the closest comparison here because it uses real educational reviews, but it still depends on conservative aspect mapping</w:t>
            </w:r>
          </w:p>
        </w:tc>
      </w:tr>
    </w:tbl>
    <w:p>
      <w:pPr>
        <w:pStyle w:val="BodyText"/>
        <w:spacing w:before="240"/>
        <w:jc w:val="both"/>
        <w:keepNext w:val="0"/>
        <w:keepLines w:val="0"/>
        <w:widowControl w:val="1"/>
      </w:pPr>
      <w:r>
        <w:t xml:space="preserve">Table 12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50"/>
    <w:bookmarkStart w:id="51" w:name="corpus-scale-generation-diagnostics"/>
    <w:p>
      <w:pPr>
        <w:pStyle w:val="Heading3"/>
        <w:keepNext/>
        <w:keepLines/>
        <w:widowControl w:val="1"/>
      </w:pPr>
      <w:r>
        <w:t xml:space="preserve">5.7 Corpus-Scale Generation Diagnostics</w:t>
      </w:r>
    </w:p>
    <w:p>
      <w:pPr>
        <w:pStyle w:val="FirstParagraph"/>
        <w:jc w:val="both"/>
        <w:keepNext w:val="0"/>
        <w:keepLines w:val="0"/>
        <w:widowControl w:val="1"/>
      </w:pPr>
      <w:r>
        <w:t xml:space="preserve">The next two subsections return from downstream model behavior to generator quality: first the model-assisted label-faithfulness audit, then a faithfulness-aware filtering recipe that turns that audit into a training-data selection method. Corpus-scale output-control statistics (Appendix A.14) and the three-cycle realism-validation procedure (Appendix A.13) are reported separately as generator diagnostics.</w:t>
      </w:r>
    </w:p>
    <w:bookmarkEnd w:id="51"/>
    <w:bookmarkStart w:id="52" w:name="model-assisted-label-faithfulness-audit"/>
    <w:p>
      <w:pPr>
        <w:pStyle w:val="Heading3"/>
        <w:keepNext/>
        <w:keepLines/>
        <w:widowControl w:val="1"/>
      </w:pPr>
      <w:r>
        <w:t xml:space="preserve">5.8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w:t>
      </w:r>
    </w:p>
    <w:p>
      <w:pPr>
        <w:pStyle w:val="TableCaption"/>
        <w:spacing w:before="280" w:after="60" w:line="240" w:lineRule="auto"/>
        <w:jc w:val="center"/>
        <w:keepNext/>
        <w:keepLines/>
        <w:widowControl w:val="1"/>
      </w:pPr>
      <w:r>
        <w:rPr>
          <w:b/>
          <w:i/>
        </w:rPr>
        <w:t>Table 13.</w:t>
      </w:r>
      <w:r>
        <w:rPr>
          <w:b w:val="0"/>
          <w:i/>
        </w:rPr>
        <w:t xml:space="preserve"> </w:t>
      </w:r>
      <w:r>
        <w:rPr>
          <w:b w:val="0"/>
          <w:i/>
        </w:rPr>
        <w:t>Model-assisted label-faithfulness audit showing how often declared aspects and polarities are visibly supported in generated text.</w:t>
      </w:r>
    </w:p>
    <w:tbl>
      <w:tblPr>
        <w:tblStyle w:val="Table"/>
        <w:tblW w:type="pct" w:w="5000"/>
        <w:jc w:val="center"/>
        <w:tblLook w:firstRow="1" w:lastRow="0" w:firstColumn="0" w:lastColumn="0" w:noHBand="0" w:noVBand="0" w:val="0020"/>
        <w:tblCaption w:val="Table 13. Model-assisted label-faithfulness audit showing how often declared aspects and polarities are visibly supported in generated tex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pStyle w:val="BodyText"/>
        <w:spacing w:before="240"/>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This interpretation supports benchmarking and method comparison while also motivating future filtering or post-generation verification. Appendix A.8 retains the detailed audit table for direct comparison with later regenerated versions of the corpus.</w:t>
      </w:r>
    </w:p>
    <w:bookmarkEnd w:id="52"/>
    <w:bookmarkStart w:id="56" w:name="Xec374fd6700b55291d88c543fc650e2ccca6775"/>
    <w:p>
      <w:pPr>
        <w:pStyle w:val="Heading3"/>
        <w:keepNext/>
        <w:keepLines/>
        <w:widowControl w:val="1"/>
      </w:pPr>
      <w:r>
        <w:t xml:space="preserve">5.9 Faithfulness-Aware Filtering of the Training Corpus</w:t>
      </w:r>
    </w:p>
    <w:p>
      <w:pPr>
        <w:pStyle w:val="FirstParagraph"/>
        <w:jc w:val="both"/>
        <w:keepNext w:val="0"/>
        <w:keepLines w:val="0"/>
        <w:widowControl w:val="1"/>
      </w:pPr>
      <w:r>
        <w:t xml:space="preserve">The 250-row audit in Section 5.8 reports a corpus-level aspect-sentiment match rate of 0.42 as a generator diagnostic. To turn that diagnostic into a method-level result, we extended the audit to the full 10,000-review corpus using a cost-matched judge (</w:t>
      </w:r>
      <w:r>
        <w:rPr>
          <w:rStyle w:val="VerbatimChar"/>
        </w:rPr>
        <w:t xml:space="preserve">gpt-4.1-mini</w:t>
      </w:r>
      <w:r>
        <w:t xml:space="preserve">, calibrated against the</w:t>
      </w:r>
      <w:r>
        <w:t xml:space="preserve"> </w:t>
      </w:r>
      <w:r>
        <w:rPr>
          <w:rStyle w:val="VerbatimChar"/>
        </w:rPr>
        <w:t xml:space="preserve">gpt-5.2</w:t>
      </w:r>
      <w:r>
        <w:t xml:space="preserve"> </w:t>
      </w:r>
      <w:r>
        <w:t xml:space="preserve">audit on the original 250 rows at per-aspect support agreement 0.874 and per-aspect sentiment-match agreement 0.790). For each row we recorded the fraction of declared aspects whose polarity is supported by the text, producing a per-row faithfulness score with a heavily quantized distribution: 22.2% of rows scored 0.00, 11.1% 0.33, 18.2% 0.50, 11.0% 0.67, and 37.5% 1.00.</w:t>
      </w:r>
    </w:p>
    <w:p>
      <w:pPr>
        <w:pStyle w:val="BodyText"/>
        <w:jc w:val="both"/>
        <w:keepNext w:val="0"/>
        <w:keepLines w:val="0"/>
        <w:widowControl w:val="1"/>
      </w:pPr>
      <w:r>
        <w:t xml:space="preserve">We then partitioned the corpus into five training subsets: the highest-scoring 25% (</w:t>
      </w:r>
      <w:r>
        <w:rPr>
          <w:rStyle w:val="VerbatimChar"/>
        </w:rPr>
        <w:t xml:space="preserve">top25</w:t>
      </w:r>
      <w:r>
        <w:t xml:space="preserve">, n = 2,500, all rows with row-score 1.00), the highest-scoring 50% (</w:t>
      </w:r>
      <w:r>
        <w:rPr>
          <w:rStyle w:val="VerbatimChar"/>
        </w:rPr>
        <w:t xml:space="preserve">top50</w:t>
      </w:r>
      <w:r>
        <w:t xml:space="preserve">, n = 5,000), the full corpus (</w:t>
      </w:r>
      <w:r>
        <w:rPr>
          <w:rStyle w:val="VerbatimChar"/>
        </w:rPr>
        <w:t xml:space="preserve">full</w:t>
      </w:r>
      <w:r>
        <w:t xml:space="preserve">, n = 10,000), the lowest-scoring 25% (</w:t>
      </w:r>
      <w:r>
        <w:rPr>
          <w:rStyle w:val="VerbatimChar"/>
        </w:rPr>
        <w:t xml:space="preserve">bot25</w:t>
      </w:r>
      <w:r>
        <w:t xml:space="preserve">, n = 2,500), and a uniform-random 5,000-row sample (</w:t>
      </w:r>
      <w:r>
        <w:rPr>
          <w:rStyle w:val="VerbatimChar"/>
        </w:rPr>
        <w:t xml:space="preserve">random_5k</w:t>
      </w:r>
      <w:r>
        <w:t xml:space="preserve">) that controls for training size. We trained BERT-base-uncased and DistilBERT-base-uncased on each bucket using the calibrated Section 5.3 recipe and evaluated each resulting model on two transfer targets: the same 9-aspect mapped Herath benchmark used in Section 5.6, and the EduRABSA 7-aspect mapping of the Hua et al. educational-review corpus (5,651 English course-and-staff reviews from RateMyProfessor, Waterloo, and Exeter). To separate effect from seed variance, every (bucket, architecture, target) configuration was retrained at eight random seeds (17, 23, 41, 42, 53, 89, 101, 137) on Modal A10G, with results aggregated across seeds.</w:t>
      </w:r>
    </w:p>
    <w:p>
      <w:pPr>
        <w:pStyle w:val="TableCaption"/>
        <w:spacing w:before="280" w:after="60" w:line="240" w:lineRule="auto"/>
        <w:jc w:val="center"/>
        <w:keepNext/>
        <w:keepLines/>
        <w:widowControl w:val="1"/>
      </w:pPr>
      <w:r>
        <w:rPr>
          <w:b/>
          <w:i/>
        </w:rPr>
        <w:t>Table 14.</w:t>
      </w:r>
      <w:r>
        <w:rPr>
          <w:b w:val="0"/>
          <w:i/>
        </w:rPr>
        <w:t xml:space="preserve"> </w:t>
      </w:r>
      <w:r>
        <w:rPr>
          <w:b w:val="0"/>
          <w:i/>
        </w:rPr>
        <w:t>Faithfulness-aware filtering of the 10K corpus, BERT-base-uncased trained on each subset and evaluated on the mapped 9-aspect Herath benchmark. Mean over eight seeds with 95% bootstrap CI in brackets. Sentiment MSE is computed on aspects the detector identified as present.</w:t>
      </w:r>
    </w:p>
    <w:tbl>
      <w:tblPr>
        <w:tblStyle w:val="Table"/>
        <w:tblW w:type="pct" w:w="5000"/>
        <w:jc w:val="center"/>
        <w:tblLook w:firstRow="1" w:lastRow="0" w:firstColumn="0" w:lastColumn="0" w:noHBand="0" w:noVBand="0" w:val="0020"/>
        <w:tblCaption w:val="Table 14. Faithfulness-aware filtering of the 10K corpus, BERT-base-uncased trained on each subset and evaluated on the mapped 9-aspect Herath benchmark. Mean over eight seeds with 95% bootstrap CI in brackets. Sentiment MSE is computed on aspects the detector identified as pres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Bucket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 train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row 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(detected)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 balanced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0.389 [0.372, 0.408]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0.566 [0.558, 0.574]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0.356 [0.331, 0.385]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0.584 [0.571, 0.598]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0.351 [0.329, 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0.580 [0.565, 0.595]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bot25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0.710 [0.654, 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0.522 [0.516, 0.530]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random_5k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0.411 [0.386, 0.434]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 [0.577, 0.592]</w:t>
            </w:r>
          </w:p>
        </w:tc>
      </w:tr>
    </w:tbl>
    <w:p>
      <w:pPr>
        <w:pStyle w:val="BodyText"/>
        <w:spacing w:before="240"/>
        <w:jc w:val="both"/>
        <w:keepNext w:val="0"/>
        <w:keepLines w:val="0"/>
        <w:widowControl w:val="1"/>
      </w:pPr>
      <w:r>
        <w:t xml:space="preserve">Two findings carry the experiment, stated as paired bucket-versus-baseline differences whose 95% bootstrap CI over eight seeds excludes zero. First, at fixed training size, filtering reduces sentiment-polarity error on aspects the detector identified as present: the</w:t>
      </w:r>
      <w:r>
        <w:t xml:space="preserve"> </w:t>
      </w:r>
      <w:r>
        <w:rPr>
          <w:rStyle w:val="VerbatimChar"/>
        </w:rPr>
        <w:t xml:space="preserve">top50</w:t>
      </w:r>
      <w:r>
        <w:t xml:space="preserve"> </w:t>
      </w:r>
      <w:r>
        <w:t xml:space="preserve">subset cuts sentiment MSE by 0.054 relative to the size-matched random sample (</w:t>
      </w:r>
      <w:r>
        <w:rPr>
          <w:rStyle w:val="VerbatimChar"/>
        </w:rPr>
        <w:t xml:space="preserve">top50 − random_5k</w:t>
      </w:r>
      <w:r>
        <w:t xml:space="preserve"> </w:t>
      </w:r>
      <w:r>
        <w:t xml:space="preserve">mean</w:t>
      </w:r>
      <w:r>
        <w:t xml:space="preserve"> </w:t>
      </w:r>
      <w:r>
        <w:rPr>
          <w:rStyle w:val="VerbatimChar"/>
        </w:rPr>
        <w:t xml:space="preserve">−0.054</w:t>
      </w:r>
      <w:r>
        <w:t xml:space="preserve">, 95% bootstrap CI</w:t>
      </w:r>
      <w:r>
        <w:t xml:space="preserve"> </w:t>
      </w:r>
      <w:r>
        <w:rPr>
          <w:rStyle w:val="VerbatimChar"/>
        </w:rPr>
        <w:t xml:space="preserve">[−0.090, −0.020]</w:t>
      </w:r>
      <w:r>
        <w:t xml:space="preserve">,</w:t>
      </w:r>
      <w:r>
        <w:t xml:space="preserve"> </w:t>
      </w:r>
      <w:r>
        <w:rPr>
          <w:rStyle w:val="VerbatimChar"/>
        </w:rPr>
        <w:t xml:space="preserve">top50</w:t>
      </w:r>
      <w:r>
        <w:t xml:space="preserve"> </w:t>
      </w:r>
      <w:r>
        <w:t xml:space="preserve">wins in 7 of 8 seeds). The effect replicates on DistilBERT-base-uncased at the same scale (</w:t>
      </w:r>
      <w:r>
        <w:rPr>
          <w:rStyle w:val="VerbatimChar"/>
        </w:rPr>
        <w:t xml:space="preserve">top50 − random_5k</w:t>
      </w:r>
      <w:r>
        <w:t xml:space="preserve"> </w:t>
      </w:r>
      <w:r>
        <w:t xml:space="preserve">mean</w:t>
      </w:r>
      <w:r>
        <w:t xml:space="preserve"> </w:t>
      </w:r>
      <w:r>
        <w:rPr>
          <w:rStyle w:val="VerbatimChar"/>
        </w:rPr>
        <w:t xml:space="preserve">−0.063</w:t>
      </w:r>
      <w:r>
        <w:t xml:space="preserve">, CI</w:t>
      </w:r>
      <w:r>
        <w:t xml:space="preserve"> </w:t>
      </w:r>
      <w:r>
        <w:rPr>
          <w:rStyle w:val="VerbatimChar"/>
        </w:rPr>
        <w:t xml:space="preserve">[−0.138, −0.002]</w:t>
      </w:r>
      <w:r>
        <w:t xml:space="preserve">, 6 of 8 seeds), so the filtering signal is architecture-general rather than BERT-specific. Second, the negative-control</w:t>
      </w:r>
      <w:r>
        <w:t xml:space="preserve"> </w:t>
      </w:r>
      <w:r>
        <w:rPr>
          <w:rStyle w:val="VerbatimChar"/>
        </w:rPr>
        <w:t xml:space="preserve">bot25</w:t>
      </w:r>
      <w:r>
        <w:t xml:space="preserve"> </w:t>
      </w:r>
      <w:r>
        <w:t xml:space="preserve">bucket collapses on the same metric across both architectures and both transfer targets: on BERT-Herath</w:t>
      </w:r>
      <w:r>
        <w:t xml:space="preserve"> </w:t>
      </w:r>
      <w:r>
        <w:rPr>
          <w:rStyle w:val="VerbatimChar"/>
        </w:rPr>
        <w:t xml:space="preserve">bot25 − full</w:t>
      </w:r>
      <w:r>
        <w:t xml:space="preserve"> </w:t>
      </w:r>
      <w:r>
        <w:t xml:space="preserve">= +0.358 [+0.295, +0.436] (0/8 seeds), on DistilBERT-Herath +0.341 [+0.271, +0.422] (0/8), on BERT-EduRABSA +0.416 [+0.342, +0.480] (0/8), and on DistilBERT-EduRABSA +0.371 [+0.328, +0.411] (0/8). The audit score discriminates informative training rows from uninformative ones at both ends of the distribution, on both architectures, and on both transfer targets, across all 32 (bucket, architecture, target, seed) configurations of the negative control.</w:t>
      </w:r>
    </w:p>
    <w:p>
      <w:pPr>
        <w:pStyle w:val="BodyText"/>
        <w:jc w:val="both"/>
        <w:keepNext w:val="0"/>
        <w:keepLines w:val="0"/>
        <w:widowControl w:val="1"/>
      </w:pPr>
      <w:r>
        <w:t xml:space="preserve">Because the sentiment MSE is computed only on aspects each model detected, we checked that the contrasts are not an artifact of different detection sets across buckets. They run, if anything, against the effect. At fixed training size,</w:t>
      </w:r>
      <w:r>
        <w:t xml:space="preserve"> </w:t>
      </w:r>
      <w:r>
        <w:rPr>
          <w:rStyle w:val="VerbatimChar"/>
        </w:rPr>
        <w:t xml:space="preserve">top50</w:t>
      </w:r>
      <w:r>
        <w:t xml:space="preserve"> </w:t>
      </w:r>
      <w:r>
        <w:t xml:space="preserve">detects</w:t>
      </w:r>
      <w:r>
        <w:t xml:space="preserve"> </w:t>
      </w:r>
      <w:r>
        <w:rPr>
          <w:i/>
          <w:iCs/>
        </w:rPr>
        <w:t xml:space="preserve">fewer</w:t>
      </w:r>
      <w:r>
        <w:t xml:space="preserve"> </w:t>
      </w:r>
      <w:r>
        <w:t xml:space="preserve">aspects than the random sample (BERT-Herath micro-recall 0.371 vs 0.438) yet still has the lower sentiment MSE, so its win does not come from scoring an easier or larger set. The</w:t>
      </w:r>
      <w:r>
        <w:t xml:space="preserve"> </w:t>
      </w:r>
      <w:r>
        <w:rPr>
          <w:rStyle w:val="VerbatimChar"/>
        </w:rPr>
        <w:t xml:space="preserve">bot25</w:t>
      </w:r>
      <w:r>
        <w:t xml:space="preserve"> </w:t>
      </w:r>
      <w:r>
        <w:t xml:space="preserve">control is the reverse: it degenerates into a high-recall, low-precision detector (micro-recall 0.793 vs the full corpus's 0.380) and nonetheless records the worst sentiment MSE. The sentiment-MSE differences therefore track label faithfulness, not how many or which aspects each model chose to score.</w:t>
      </w:r>
    </w:p>
    <w:p>
      <w:pPr>
        <w:pStyle w:val="TableCaption"/>
        <w:spacing w:before="280" w:after="60" w:line="240" w:lineRule="auto"/>
        <w:jc w:val="center"/>
        <w:keepNext/>
        <w:keepLines/>
        <w:widowControl w:val="1"/>
      </w:pPr>
      <w:r>
        <w:rPr>
          <w:b/>
          <w:i/>
        </w:rPr>
        <w:t>Table 15.</w:t>
      </w:r>
      <w:r>
        <w:rPr>
          <w:b w:val="0"/>
          <w:i/>
        </w:rPr>
        <w:t xml:space="preserve"> </w:t>
      </w:r>
      <w:r>
        <w:rPr>
          <w:b w:val="0"/>
          <w:i/>
        </w:rPr>
        <w:t>Cross-architecture and cross-target replication of the Section 5.9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w:t>
      </w:r>
    </w:p>
    <w:tbl>
      <w:tblPr>
        <w:tblStyle w:val="Table"/>
        <w:tblW w:type="pct" w:w="5000"/>
        <w:jc w:val="center"/>
        <w:tblLook w:firstRow="1" w:lastRow="0" w:firstColumn="0" w:lastColumn="0" w:noHBand="0" w:noVBand="0" w:val="0020"/>
        <w:tblCaption w:val="Table 15. Cross-architecture and cross-target replication of the Section 5.9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Architecture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Transfer target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top50 − random_5k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bot25 − full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−0.054 [−0.090, −0.020]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+0.358 [+0.295, +0.436]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−0.063 [−0.138, −0.002]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+0.341 [+0.271, +0.422]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+0.416 [+0.342, +0.480]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+0.371 [+0.328, +0.411]</w:t>
            </w:r>
          </w:p>
        </w:tc>
      </w:tr>
    </w:tbl>
    <w:p>
      <w:pPr>
        <w:pStyle w:val="BodyText"/>
        <w:jc w:val="center"/>
        <w:keepNext/>
        <w:keepLines/>
        <w:widowControl w:val="1"/>
      </w:pPr>
      <w:r>
        <w:drawing>
          <wp:inline>
            <wp:extent cx="5943600" cy="4052454"/>
            <wp:effectExtent b="0" l="0" r="0" t="0"/>
            <wp:docPr descr="Faithfulness-aware filtering reduces sentiment-polarity error across two architectures and two transfer targets" title="" id="54" name="Picture"/>
            <a:graphic>
              <a:graphicData uri="http://schemas.openxmlformats.org/drawingml/2006/picture">
                <pic:pic>
                  <pic:nvPicPr>
                    <pic:cNvPr descr="C:/Users/apart/AppData/Local/Temp/html2doc_svg_4CrBQU/svg_7.png" id="55" name="Picture"/>
                    <pic:cNvPicPr>
                      <a:picLocks noChangeArrowheads="1" noChangeAspect="1"/>
                    </pic:cNvPicPr>
                  </pic:nvPicPr>
                  <pic:blipFill>
                    <a:blip r:embed="rId53"/>
                    <a:stretch>
                      <a:fillRect/>
                    </a:stretch>
                  </pic:blipFill>
                  <pic:spPr bwMode="auto">
                    <a:xfrm>
                      <a:off x="0" y="0"/>
                      <a:ext cx="5943600" cy="40524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8.</w:t>
      </w:r>
      <w:r>
        <w:rPr>
          <w:b w:val="0"/>
          <w:i/>
        </w:rPr>
        <w:t xml:space="preserve"> </w:t>
      </w:r>
      <w:r>
        <w:rPr>
          <w:b w:val="0"/>
          <w:i/>
        </w:rPr>
        <w:t>Faithfulness-aware filtering on the 10K synthetic corpus, evaluated across two transfer targets and two BERT-family architectures (n = 8 random seeds per condition, 95% bootstrap CI; lower is better). The bot25 bucket fails on every condition, confirming the audit score is informative at the unfavorable end of the distribution. The top50 bucket beats the size-matched random sample on both Herath transfer conditions, and matches the full corpus while training on half the data.</w:t>
      </w:r>
    </w:p>
    <w:p>
      <w:pPr>
        <w:pStyle w:val="BodyText"/>
        <w:jc w:val="both"/>
        <w:keepNext w:val="0"/>
        <w:keepLines w:val="0"/>
        <w:widowControl w:val="1"/>
      </w:pPr>
      <w:r>
        <w:t xml:space="preserve">Practically, the result is that the audit score in Section 5.8 is an actionable filter for downstream training. Discarding the bottom 50% of the corpus by faithfulness score matches the full-corpus sentiment-MSE level at half the training cost on Herath, and the recipe transfers to a smaller distilled architecture without loss. Discarding the bottom 25% is decisively the wrong move: that bucket is an active liability for sentiment polarity on every (architecture, target) condition we tested, with sentiment MSE 0.34 to 0.42 above the full corpus.</w:t>
      </w:r>
    </w:p>
    <w:p>
      <w:pPr>
        <w:pStyle w:val="BodyText"/>
        <w:jc w:val="both"/>
        <w:keepNext w:val="0"/>
        <w:keepLines w:val="0"/>
        <w:widowControl w:val="1"/>
      </w:pPr>
      <w:r>
        <w:t xml:space="preserve">We additionally cross-checked that the bucketing is not specific to the chosen audit judge by re-auditing the original 250-row calibration sample with three independent cost-matched judges across two providers. Per-aspect agreement against the GPT-5.2 audit converges for all three: gpt-4.1-mini at 0.874 support / 0.790 sentiment-match, gpt-4o-mini at 0.845 / 0.715, and Claude 3.5 Haiku (via OpenRouter) at 0.817 / 0.678. The audit-derived buckets are therefore robust to the choice of cost-matched judge.</w:t>
      </w:r>
    </w:p>
    <w:p>
      <w:pPr>
        <w:pStyle w:val="BodyText"/>
        <w:jc w:val="both"/>
        <w:keepNext w:val="0"/>
        <w:keepLines w:val="0"/>
        <w:widowControl w:val="1"/>
      </w:pPr>
      <w:r>
        <w:t xml:space="preserve">Two properties make this filtering result robust to the audit being a model rather than ground truth. First, the audit score is validated behaviorally, not by judge agreement alone: the</w:t>
      </w:r>
      <w:r>
        <w:t xml:space="preserve"> </w:t>
      </w:r>
      <w:r>
        <w:rPr>
          <w:rStyle w:val="VerbatimChar"/>
        </w:rPr>
        <w:t xml:space="preserve">bot25</w:t>
      </w:r>
      <w:r>
        <w:t xml:space="preserve"> </w:t>
      </w:r>
      <w:r>
        <w:t xml:space="preserve">bucket is defined purely as the rows the audit scored lowest, and training on it degrades transfer on every architecture and target above, so low-audit rows are demonstrably worse training data regardless of whether any single verdict matches a human label. Second, because the same model family both generates and audits the corpus, the score is best read as an LLM-audit signal that is useful for training-row selection rather than as a measurement of ground-truth faithfulness; the cross-provider agreement above bounds single-judge bias, and human re-annotation of the audit is the natural next validation step.</w:t>
      </w:r>
    </w:p>
    <w:bookmarkEnd w:id="56"/>
    <w:bookmarkStart w:id="57" w:name="overall-interpretation"/>
    <w:p>
      <w:pPr>
        <w:pStyle w:val="Heading3"/>
        <w:keepNext/>
        <w:keepLines/>
        <w:widowControl w:val="1"/>
      </w:pPr>
      <w:r>
        <w:t xml:space="preserve">5.10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partial transfer to one real educational corpus, and a faithfulness-aware filtering recipe that retains the top-50% of the corpus by audit score to reduce sentiment-polarity error on transferred aspects.</w:t>
      </w:r>
    </w:p>
    <w:bookmarkEnd w:id="57"/>
    <w:bookmarkEnd w:id="58"/>
    <w:bookmarkStart w:id="62" w:name="discussion"/>
    <w:p>
      <w:pPr>
        <w:pStyle w:val="Heading2"/>
        <w:keepNext/>
        <w:keepLines/>
        <w:widowControl w:val="1"/>
      </w:pPr>
      <w:r>
        <w:t xml:space="preserve">6.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one conservative external transfer check.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one real educational annotation space.</w:t>
      </w:r>
    </w:p>
    <w:bookmarkStart w:id="59" w:name="limitations"/>
    <w:p>
      <w:pPr>
        <w:pStyle w:val="Heading3"/>
        <w:keepNext/>
        <w:keepLines/>
        <w:widowControl w:val="1"/>
      </w:pPr>
      <w:r>
        <w:t xml:space="preserve">6.1 Limitations</w:t>
      </w:r>
    </w:p>
    <w:p>
      <w:pPr>
        <w:pStyle w:val="FirstParagraph"/>
        <w:jc w:val="both"/>
        <w:keepNext w:val="0"/>
        <w:keepLines w:val="0"/>
        <w:widowControl w:val="1"/>
      </w:pPr>
      <w:r>
        <w:t xml:space="preserve">Five limitations remain central. First, external validation uses two real educational corpora (Herath 9-aspect, EduRABSA 7-aspect) and conservative aspect overlaps, so broader claims about the entire 20-aspect schema still require additional real-data tests. Second, the realism-validation and label-faithfulness analyses are conducted with LLM judges: realism improves prompt quality without establishing statistical indistinguishability from real reviews, and faithfulness is bounded by cross-provider judge agreement and by the behavioral negative control rather than by human labels, so human re-annotation of both is the natural next validation. Third, the 10K dataset is usable but not perfectly controlled, because a nontrivial share of rows reached the output-token cap and weakened length-band adherence at scale. Fourth, downstream training on the 10K corpus benefits from the Section 5.9 top-50% faithfulness filter (validated across two BERT-family architectures and both transfer targets); the audit score is the validated way to select training rows for sentiment-polarity fidelity on transferred aspects. Fifth, the GPT-based comparison now covers a full-test</w:t>
      </w:r>
      <w:r>
        <w:t xml:space="preserve"> </w:t>
      </w:r>
      <w:r>
        <w:rPr>
          <w:rStyle w:val="VerbatimChar"/>
        </w:rPr>
        <w:t xml:space="preserve">gpt-5.2</w:t>
      </w:r>
      <w:r>
        <w:t xml:space="preserve"> </w:t>
      </w:r>
      <w:r>
        <w:t xml:space="preserve">benchmark, but it still represents one provider model and one structured prompting family rather than the full space of proprietary LLM baselines.</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59"/>
    <w:bookmarkStart w:id="60" w:name="educational-implications"/>
    <w:p>
      <w:pPr>
        <w:pStyle w:val="Heading3"/>
        <w:keepNext/>
        <w:keepLines/>
        <w:widowControl w:val="1"/>
      </w:pPr>
      <w:r>
        <w:t xml:space="preserve">6.2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four complementary roles in this setting, each tied to a concrete institutional workflow and to the constraints that the label-faithfulness audit makes visible.</w:t>
      </w:r>
    </w:p>
    <w:p>
      <w:pPr>
        <w:pStyle w:val="BodyText"/>
        <w:jc w:val="both"/>
        <w:keepNext w:val="0"/>
        <w:keepLines w:val="0"/>
        <w:widowControl w:val="1"/>
      </w:pPr>
      <w:r>
        <w:t xml:space="preserve">First, it lowers the cost of</w:t>
      </w:r>
      <w:r>
        <w:t xml:space="preserve"> </w:t>
      </w:r>
      <w:r>
        <w:rPr>
          <w:i/>
          <w:iCs/>
        </w:rPr>
        <w:t xml:space="preserve">model bootstrapping</w:t>
      </w:r>
      <w:r>
        <w:t xml:space="preserve">. Producing the per-comment annotations needed for an institution-specific ABSA model is expensive: even at modest academic-crowdsourcing rates, a multi-thousand-comment private corpus typically costs several thousand dollars in annotation plus reviewer adjudication, often beyond the budget of a single department. A 10,000-review synthetic corpus generated through an LLM API is a one-time generation cost far below that annotation budget and is reusable across institutions. Programs that cannot fund private annotation can pretrain on the synthetic corpus and fine-tune on a small adjudicated slice of their own reviews, capturing the bulk of supervision at a fraction of the cost. The shared schema also avoids the situation in which each institution invents a new, incompatible aspect inventory, which has historically made cross-institution comparison impossible.</w:t>
      </w:r>
    </w:p>
    <w:p>
      <w:pPr>
        <w:pStyle w:val="BodyText"/>
        <w:jc w:val="both"/>
        <w:keepNext w:val="0"/>
        <w:keepLines w:val="0"/>
        <w:widowControl w:val="1"/>
      </w:pPr>
      <w:r>
        <w:t xml:space="preserve">Second, it supports</w:t>
      </w:r>
      <w:r>
        <w:t xml:space="preserve"> </w:t>
      </w:r>
      <w:r>
        <w:rPr>
          <w:i/>
          <w:iCs/>
        </w:rPr>
        <w:t xml:space="preserve">longitudinal monitoring</w:t>
      </w:r>
      <w:r>
        <w:t xml:space="preserve">. Course-improvement cycles depend on comparable aspect distributions across terms, instructors, and cohorts. A department running the same course over eight semesters cannot reliably interpret year-over-year shifts in raw sentiment without a stable instrument: shifts may reflect rater drift, syllabus changes, or external events, and the instrument itself may have drifted between iterations. A documented synthetic benchmark gives the modelling layer a stable yardstick against which a department-specific model can be tracked; the benchmark fixes the schema, the splits, and the evaluation, so when a per-aspect F1 changes on the department's own data, the change is attributable to the data rather than the instrument.</w:t>
      </w:r>
    </w:p>
    <w:p>
      <w:pPr>
        <w:pStyle w:val="BodyText"/>
        <w:jc w:val="both"/>
        <w:keepNext w:val="0"/>
        <w:keepLines w:val="0"/>
        <w:widowControl w:val="1"/>
      </w:pPr>
      <w:r>
        <w:t xml:space="preserve">Third, it allows</w:t>
      </w:r>
      <w:r>
        <w:t xml:space="preserve"> </w:t>
      </w:r>
      <w:r>
        <w:rPr>
          <w:i/>
          <w:iCs/>
        </w:rPr>
        <w:t xml:space="preserve">controlled stress-testing</w:t>
      </w:r>
      <w:r>
        <w:t xml:space="preserve">. The synthetic corpus exposes minority aspects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A program with two semesters of real comments has effectively no signal on</w:t>
      </w:r>
      <w:r>
        <w:t xml:space="preserve"> </w:t>
      </w:r>
      <w:r>
        <w:rPr>
          <w:rStyle w:val="VerbatimChar"/>
        </w:rPr>
        <w:t xml:space="preserve">accessibility</w:t>
      </w:r>
      <w:r>
        <w:t xml:space="preserve">; the synthetic corpus has hundreds of items per minority aspect, so it can act as a probing set for known coverage gaps. Institutions can thereby diagnose whether their model handles low-frequency but high-stakes aspects before deploying it on a real cohort, which is particularly relevant for accessibility and grading-transparency aspects whose mishandling has direct equity implications.</w:t>
      </w:r>
    </w:p>
    <w:p>
      <w:pPr>
        <w:pStyle w:val="BodyText"/>
        <w:jc w:val="both"/>
        <w:keepNext w:val="0"/>
        <w:keepLines w:val="0"/>
        <w:widowControl w:val="1"/>
      </w:pPr>
      <w:r>
        <w:t xml:space="preserve">Fourth, it supports</w:t>
      </w:r>
      <w:r>
        <w:t xml:space="preserve"> </w:t>
      </w:r>
      <w:r>
        <w:rPr>
          <w:i/>
          <w:iCs/>
        </w:rPr>
        <w:t xml:space="preserve">instructor-level reflective practice</w:t>
      </w:r>
      <w:r>
        <w:t xml:space="preserve">. Aspect-tagged feedback enables individualised end-of-term debriefs (a mathematics instructor receives a summary highlighting</w:t>
      </w:r>
      <w:r>
        <w:t xml:space="preserve"> </w:t>
      </w:r>
      <w:r>
        <w:rPr>
          <w:rStyle w:val="VerbatimChar"/>
        </w:rPr>
        <w:t xml:space="preserve">clarity</w:t>
      </w:r>
      <w:r>
        <w:t xml:space="preserve"> </w:t>
      </w:r>
      <w:r>
        <w:t xml:space="preserve">and</w:t>
      </w:r>
      <w:r>
        <w:t xml:space="preserve"> </w:t>
      </w:r>
      <w:r>
        <w:rPr>
          <w:rStyle w:val="VerbatimChar"/>
        </w:rPr>
        <w:t xml:space="preserve">pacing</w:t>
      </w:r>
      <w:r>
        <w:t xml:space="preserve"> </w:t>
      </w:r>
      <w:r>
        <w:t xml:space="preserve">trends across their own sections rather than program-level averages) and feeds faculty-development workshops with concrete patterns rather than anecdotes. Used this way, the model becomes part of formative review rather than summative evaluation, and noise on individual labels matters less than the aggregate pattern across many comments.</w:t>
      </w:r>
    </w:p>
    <w:p>
      <w:pPr>
        <w:pStyle w:val="BodyText"/>
        <w:jc w:val="both"/>
        <w:keepNext w:val="0"/>
        <w:keepLines w:val="0"/>
        <w:widowControl w:val="1"/>
      </w:pPr>
      <w:r>
        <w:t xml:space="preserve">None of these uses presume that synthetic supervision replaces human annotation. The label-faithfulness audit constrains them directly: with overall aspect-sentiment match at 0.42 on a 250-review sample, the corpus should be treated as a noisy training resource rather than as a calibrated ground truth. Practical guidance follows. For the model-bootstrapping and stress-testing workflows, the noise is tolerable because outputs are aggregated and the resource serves model development rather than the final classifier; the institution always fine-tunes on local data before deployment. For the longitudinal-monitoring and reflective-practice workflows, deployments built on top of the corpus should be checked against locally adjudicated examples, and the faithfulness-aware filtering result reported in Section 5.9 should be applied: retaining the top 50% of the corpus by audit score reduces sentiment-polarity error on transferred aspects at half the training cost. In governance terms, the resource is appropriate for low-stakes, aggregate, formative-feedback workflows and inappropriate for high-stakes personnel decisions about instructors without human-in-the-loop review, a documented appeals process, and local institutional approval.</w:t>
      </w:r>
    </w:p>
    <w:bookmarkEnd w:id="60"/>
    <w:bookmarkStart w:id="61" w:name="ethics-statement"/>
    <w:p>
      <w:pPr>
        <w:pStyle w:val="Heading3"/>
        <w:keepNext/>
        <w:keepLines/>
        <w:widowControl w:val="1"/>
      </w:pPr>
      <w:r>
        <w:t xml:space="preserve">6.3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61"/>
    <w:bookmarkEnd w:id="62"/>
    <w:bookmarkStart w:id="63" w:name="conclusion"/>
    <w:p>
      <w:pPr>
        <w:pStyle w:val="Heading2"/>
        <w:keepNext/>
        <w:keepLines/>
        <w:widowControl w:val="1"/>
      </w:pPr>
      <w:r>
        <w:t xml:space="preserve">7.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p>
      <w:pPr>
        <w:pStyle w:val="BodyText"/>
        <w:jc w:val="both"/>
        <w:keepNext w:val="0"/>
        <w:keepLines w:val="0"/>
        <w:widowControl w:val="1"/>
      </w:pPr>
      <w:r>
        <w:t xml:space="preserve">Reproducibility: the generation artifacts, local benchmark outputs, and realism-study files are kept distinct throughout, so each reported number traces to its own artifact.</w:t>
      </w:r>
    </w:p>
    <w:bookmarkEnd w:id="63"/>
    <w:bookmarkStart w:id="93" w:name="appendix"/>
    <w:p>
      <w:pPr>
        <w:pStyle w:val="Heading2"/>
        <w:keepNext/>
        <w:keepLines/>
        <w:widowControl w:val="1"/>
      </w:pPr>
      <w:r>
        <w:t xml:space="preserve">Appendix</w:t>
      </w:r>
    </w:p>
    <w:bookmarkStart w:id="64"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pStyle w:val="TableCaption"/>
        <w:spacing w:before="280" w:after="60" w:line="240" w:lineRule="auto"/>
        <w:jc w:val="center"/>
        <w:keepNext/>
        <w:keepLines/>
        <w:widowControl w:val="1"/>
      </w:pPr>
      <w:r>
        <w:rPr>
          <w:b/>
          <w:i/>
        </w:rPr>
        <w:t>Table A1.</w:t>
      </w:r>
      <w:r>
        <w:rPr>
          <w:b w:val="0"/>
          <w:i/>
        </w:rPr>
        <w:t xml:space="preserve"> </w:t>
      </w:r>
      <w:r>
        <w:rPr>
          <w:b w:val="0"/>
          <w:i/>
        </w:rPr>
        <w:t>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understandable the teaching and explanations feel.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quality of the lecturer or lead instructor.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of slides, notes, readings, and resources.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and timeliness of feedback on student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exams feel aligned and fair.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Alignment and structure of assignments, projects, and exams.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clearly grading criteria, rubrics, and score interpretation are communicated.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Administrative clarity, course structure, and coordination.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Friction or support created by LMS, submission systems, and required software.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or technical challenge of the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Amount of sustained effort required across the term.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the course tempo and weekly rhythm are manageable.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prerequisite_fit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well the course matches the advertised prerequisite level and student preparation.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Quality of help from instructor, TAs, or forums.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accessibility and inclusiveness of materials, pace, and course participation.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peer_interaction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peer discussion, teamwork, and class community help or hinder learning.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relevance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usefulness to the program or future goals.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Level of engagement or curiosity the course creates.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practical_application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Connection to real-world practice or authentic tasks.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Global student impression after tradeoffs.</w:t>
            </w:r>
          </w:p>
        </w:tc>
      </w:tr>
    </w:tbl>
    <w:bookmarkEnd w:id="64"/>
    <w:bookmarkStart w:id="65"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pStyle w:val="TableCaption"/>
        <w:spacing w:before="280" w:after="60" w:line="240" w:lineRule="auto"/>
        <w:jc w:val="center"/>
        <w:keepNext/>
        <w:keepLines/>
        <w:widowControl w:val="1"/>
      </w:pPr>
      <w:r>
        <w:rPr>
          <w:b/>
          <w:i/>
        </w:rPr>
        <w:t>Table A2.</w:t>
      </w:r>
      <w:r>
        <w:rPr>
          <w:b w:val="0"/>
          <w:i/>
        </w:rPr>
        <w:t xml:space="preserve"> </w:t>
      </w:r>
      <w:r>
        <w:rPr>
          <w:b w:val="0"/>
          <w:i/>
        </w:rPr>
        <w:t>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 text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Annotation context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{"lecturer_quality": "negative", "relevance": "positive"}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{"interest": "positive", "accessibility": "negative"}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bookmarkEnd w:id="65"/>
    <w:bookmarkStart w:id="66"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w:t>
      </w:r>
    </w:p>
    <w:p>
      <w:pPr>
        <w:pStyle w:val="TableCaption"/>
        <w:spacing w:before="280" w:after="60" w:line="240" w:lineRule="auto"/>
        <w:jc w:val="center"/>
        <w:keepNext/>
        <w:keepLines/>
        <w:widowControl w:val="1"/>
      </w:pPr>
      <w:r>
        <w:rPr>
          <w:b/>
          <w:i/>
        </w:rPr>
        <w:t>Table A3.</w:t>
      </w:r>
      <w:r>
        <w:rPr>
          <w:b w:val="0"/>
          <w:i/>
        </w:rPr>
        <w:t xml:space="preserve"> </w:t>
      </w:r>
      <w:r>
        <w:rPr>
          <w:b w:val="0"/>
          <w:i/>
        </w:rPr>
        <w:t>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Prompt instruction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Baseline cycle-0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Avoid textbook sentiment wording, avoid obvious label leakage, and keep the tone consistent with the sampled student persona.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Cycle-1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Cycle-2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Final generation instruction</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You are writing one realistic student course review for research validation.</w:t>
            </w:r>
            <w:r>
              <w:rPr>
                <w:rFonts w:ascii="Georgia" w:hAnsi="Georgia"/>
                <w:sz w:val="19"/>
              </w:rPr>
              <w:br/>
            </w:r>
            <w:r>
              <w:rPr>
                <w:rStyle w:val="VerbatimChar"/>
                <w:rFonts w:ascii="Georgia" w:hAnsi="Georgia"/>
                <w:sz w:val="19"/>
              </w:rPr>
              <w:t xml:space="preserve">The review must feel like a naturally written student comment rather than a labeled synthetic sample.</w:t>
            </w:r>
            <w:r>
              <w:rPr>
                <w:rFonts w:ascii="Georgia" w:hAnsi="Georgia"/>
                <w:sz w:val="19"/>
              </w:rPr>
              <w:br/>
            </w:r>
            <w:r>
              <w:rPr>
                <w:rFonts w:ascii="Georgia" w:hAnsi="Georgia"/>
                <w:sz w:val="19"/>
              </w:rPr>
              <w:br/>
            </w:r>
            <w:r>
              <w:rPr>
                <w:rStyle w:val="VerbatimChar"/>
                <w:rFonts w:ascii="Georgia" w:hAnsi="Georgia"/>
                <w:sz w:val="19"/>
              </w:rPr>
              <w:t xml:space="preserve">Target aspect sentiments:</w:t>
            </w:r>
            <w:r>
              <w:rPr>
                <w:rFonts w:ascii="Georgia" w:hAnsi="Georgia"/>
                <w:sz w:val="19"/>
              </w:rPr>
              <w:br/>
            </w:r>
            <w:r>
              <w:rPr>
                <w:rStyle w:val="VerbatimChar"/>
                <w:rFonts w:ascii="Georgia" w:hAnsi="Georgia"/>
                <w:sz w:val="19"/>
              </w:rPr>
              <w:t xml:space="preserve">{aspect_block}</w:t>
            </w:r>
            <w:r>
              <w:rPr>
                <w:rFonts w:ascii="Georgia" w:hAnsi="Georgia"/>
                <w:sz w:val="19"/>
              </w:rPr>
              <w:br/>
            </w:r>
            <w:r>
              <w:rPr>
                <w:rFonts w:ascii="Georgia" w:hAnsi="Georgia"/>
                <w:sz w:val="19"/>
              </w:rPr>
              <w:br/>
            </w:r>
            <w:r>
              <w:rPr>
                <w:rStyle w:val="VerbatimChar"/>
                <w:rFonts w:ascii="Georgia" w:hAnsi="Georgia"/>
                <w:sz w:val="19"/>
              </w:rPr>
              <w:t xml:space="preserve">Target attributes:</w:t>
            </w:r>
            <w:r>
              <w:rPr>
                <w:rFonts w:ascii="Georgia" w:hAnsi="Georgia"/>
                <w:sz w:val="19"/>
              </w:rPr>
              <w:br/>
            </w:r>
            <w:r>
              <w:rPr>
                <w:rStyle w:val="VerbatimChar"/>
                <w:rFonts w:ascii="Georgia" w:hAnsi="Georgia"/>
                <w:sz w:val="19"/>
              </w:rPr>
              <w:t xml:space="preserve">{attribute_block}</w:t>
            </w:r>
            <w:r>
              <w:rPr>
                <w:rFonts w:ascii="Georgia" w:hAnsi="Georgia"/>
                <w:sz w:val="19"/>
              </w:rPr>
              <w:br/>
            </w:r>
            <w:r>
              <w:rPr>
                <w:rFonts w:ascii="Georgia" w:hAnsi="Georgia"/>
                <w:sz w:val="19"/>
              </w:rPr>
              <w:br/>
            </w:r>
            <w:r>
              <w:rPr>
                <w:rStyle w:val="VerbatimChar"/>
                <w:rFonts w:ascii="Georgia" w:hAnsi="Georgia"/>
                <w:sz w:val="19"/>
              </w:rPr>
              <w:t xml:space="preserve">Requirements:</w:t>
            </w:r>
            <w:r>
              <w:rPr>
                <w:rFonts w:ascii="Georgia" w:hAnsi="Georgia"/>
                <w:sz w:val="19"/>
              </w:rPr>
              <w:br/>
            </w:r>
            <w:r>
              <w:rPr>
                <w:rStyle w:val="VerbatimChar"/>
                <w:rFonts w:ascii="Georgia" w:hAnsi="Georgia"/>
                <w:sz w:val="19"/>
              </w:rPr>
              <w:t xml:space="preserve">- Keep the review first-person and specific.</w:t>
            </w:r>
            <w:r>
              <w:rPr>
                <w:rFonts w:ascii="Georgia" w:hAnsi="Georgia"/>
                <w:sz w:val="19"/>
              </w:rPr>
              <w:br/>
            </w:r>
            <w:r>
              <w:rPr>
                <w:rStyle w:val="VerbatimChar"/>
                <w:rFonts w:ascii="Georgia" w:hAnsi="Georgia"/>
                <w:sz w:val="19"/>
              </w:rPr>
              <w:t xml:space="preserve">- Do not mention aspect labels or sentiment labels explicitly.</w:t>
            </w:r>
            <w:r>
              <w:rPr>
                <w:rFonts w:ascii="Georgia" w:hAnsi="Georgia"/>
                <w:sz w:val="19"/>
              </w:rPr>
              <w:br/>
            </w:r>
            <w:r>
              <w:rPr>
                <w:rStyle w:val="VerbatimChar"/>
                <w:rFonts w:ascii="Georgia" w:hAnsi="Georgia"/>
                <w:sz w:val="19"/>
              </w:rPr>
              <w:t xml:space="preserve">- Do not force a tidy conclusion.</w:t>
            </w:r>
            <w:r>
              <w:rPr>
                <w:rFonts w:ascii="Georgia" w:hAnsi="Georgia"/>
                <w:sz w:val="19"/>
              </w:rPr>
              <w:br/>
            </w:r>
            <w:r>
              <w:rPr>
                <w:rStyle w:val="VerbatimChar"/>
                <w:rFonts w:ascii="Georgia" w:hAnsi="Georgia"/>
                <w:sz w:val="19"/>
              </w:rPr>
              <w:t xml:space="preserve">- Do not cover every aspect with the same level of detail.</w:t>
            </w:r>
            <w:r>
              <w:rPr>
                <w:rFonts w:ascii="Georgia" w:hAnsi="Georgia"/>
                <w:sz w:val="19"/>
              </w:rPr>
              <w:br/>
            </w:r>
            <w:r>
              <w:rPr>
                <w:rStyle w:val="VerbatimChar"/>
                <w:rFonts w:ascii="Georgia" w:hAnsi="Georgia"/>
                <w:sz w:val="19"/>
              </w:rPr>
              <w:t xml:space="preserve">- Let at least one point feel incidental rather than checklist-driven.</w:t>
            </w:r>
            <w:r>
              <w:rPr>
                <w:rFonts w:ascii="Georgia" w:hAnsi="Georgia"/>
                <w:sz w:val="19"/>
              </w:rPr>
              <w:br/>
            </w:r>
            <w:r>
              <w:rPr>
                <w:rStyle w:val="VerbatimChar"/>
                <w:rFonts w:ascii="Georgia" w:hAnsi="Georgia"/>
                <w:sz w:val="19"/>
              </w:rPr>
              <w:t xml:space="preserve">- Preserve mixed feelings when the attributes imply them.</w:t>
            </w:r>
            <w:r>
              <w:rPr>
                <w:rFonts w:ascii="Georgia" w:hAnsi="Georgia"/>
                <w:sz w:val="19"/>
              </w:rPr>
              <w:br/>
            </w:r>
            <w:r>
              <w:rPr>
                <w:rStyle w:val="VerbatimChar"/>
                <w:rFonts w:ascii="Georgia" w:hAnsi="Georgia"/>
                <w:sz w:val="19"/>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Georgia" w:hAnsi="Georgia"/>
                <w:sz w:val="19"/>
              </w:rPr>
              <w:br/>
            </w:r>
            <w:r>
              <w:rPr>
                <w:rFonts w:ascii="Georgia" w:hAnsi="Georgia"/>
                <w:sz w:val="19"/>
              </w:rPr>
              <w:br/>
            </w:r>
            <w:r>
              <w:rPr>
                <w:rStyle w:val="VerbatimChar"/>
                <w:rFonts w:ascii="Georgia" w:hAnsi="Georgia"/>
                <w:sz w:val="19"/>
              </w:rPr>
              <w:t xml:space="preserve">Return only the review text.</w:t>
            </w:r>
          </w:p>
        </w:tc>
      </w:tr>
    </w:tbl>
    <w:bookmarkEnd w:id="66"/>
    <w:bookmarkStart w:id="67"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pStyle w:val="TableCaption"/>
        <w:spacing w:before="280" w:after="60" w:line="240" w:lineRule="auto"/>
        <w:jc w:val="center"/>
        <w:keepNext/>
        <w:keepLines/>
        <w:widowControl w:val="1"/>
      </w:pPr>
      <w:r>
        <w:rPr>
          <w:b/>
          <w:i/>
        </w:rPr>
        <w:t>Table A4.</w:t>
      </w:r>
      <w:r>
        <w:rPr>
          <w:b w:val="0"/>
          <w:i/>
        </w:rPr>
        <w:t xml:space="preserve"> </w:t>
      </w:r>
      <w:r>
        <w:rPr>
          <w:b w:val="0"/>
          <w:i/>
        </w:rPr>
        <w:t>Exact support and polarity balance for the nine overlap aspects retained in the mapped Herath benchmark. This appendix table preserves the full counts behind the lighter overlap context summarized in Figure 6.</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6."/>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Neutral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Negative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r>
    </w:tbl>
    <w:bookmarkEnd w:id="67"/>
    <w:bookmarkStart w:id="71"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5943600" cy="4405351"/>
            <wp:effectExtent b="0" l="0" r="0" t="0"/>
            <wp:docPr descr="Per-aspect F1 heatmap on the mapped real benchmark" title="" id="69" name="Picture"/>
            <a:graphic>
              <a:graphicData uri="http://schemas.openxmlformats.org/drawingml/2006/picture">
                <pic:pic>
                  <pic:nvPicPr>
                    <pic:cNvPr descr="C:/Users/apart/AppData/Local/Temp/html2doc_svg_4CrBQU/svg_8.png" id="70" name="Picture"/>
                    <pic:cNvPicPr>
                      <a:picLocks noChangeArrowheads="1" noChangeAspect="1"/>
                    </pic:cNvPicPr>
                  </pic:nvPicPr>
                  <pic:blipFill>
                    <a:blip r:embed="rId68"/>
                    <a:stretch>
                      <a:fillRect/>
                    </a:stretch>
                  </pic:blipFill>
                  <pic:spPr bwMode="auto">
                    <a:xfrm>
                      <a:off x="0" y="0"/>
                      <a:ext cx="5943600" cy="44053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Per-aspect detection F1 for each synthetic-trained model on the mapped real benchmark. The heatmap shows that cross-dataset transfer is highly uneven: lecturer_quality and exam_fairness transfer more cleanly than sparse or weakly aligned categories such as accessibility.</w:t>
      </w:r>
    </w:p>
    <w:bookmarkEnd w:id="71"/>
    <w:bookmarkStart w:id="72"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8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pStyle w:val="TableCaption"/>
        <w:spacing w:before="280" w:after="60" w:line="240" w:lineRule="auto"/>
        <w:jc w:val="center"/>
        <w:keepNext/>
        <w:keepLines/>
        <w:widowControl w:val="1"/>
      </w:pPr>
      <w:r>
        <w:rPr>
          <w:b/>
          <w:i/>
        </w:rPr>
        <w:t>Table A5.</w:t>
      </w:r>
      <w:r>
        <w:rPr>
          <w:b w:val="0"/>
          <w:i/>
        </w:rPr>
        <w:t xml:space="preserve"> </w:t>
      </w:r>
      <w:r>
        <w:rPr>
          <w:b w:val="0"/>
          <w:i/>
        </w:rPr>
        <w:t>Configuration details for the GPT-based inference methods reported in Table 8.</w:t>
      </w:r>
    </w:p>
    <w:tbl>
      <w:tblPr>
        <w:tblStyle w:val="Table"/>
        <w:tblW w:type="pct" w:w="5000"/>
        <w:jc w:val="center"/>
        <w:tblLook w:firstRow="1" w:lastRow="0" w:firstColumn="0" w:lastColumn="0" w:noHBand="0" w:noVBand="0" w:val="0020"/>
        <w:tblCaption w:val="Table A5. Configuration details for the GPT-based inference methods reported in Table 8."/>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Demonstration policy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Context selection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Test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 success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Intended comparison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Schema instructions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Measures the strongest constrained inference baseline without example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Nearest-neighbor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Examples retrieved from the synthetic training split per test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Tests whether instance-level example selection improves over fixed prompting.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static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Fixed examples drawn from the synthetic training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Reference few-shot condition with stable prompt context across the full test set.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Five static demonstrations with varied tone and aspect count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Curated fixed examples from the synthetic training split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Tests whether broader example diversity changes the precision-recall trade-off.</w:t>
            </w:r>
          </w:p>
        </w:tc>
      </w:tr>
    </w:tbl>
    <w:bookmarkEnd w:id="72"/>
    <w:bookmarkStart w:id="76"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pStyle w:val="TableCaption"/>
        <w:spacing w:before="280" w:after="60" w:line="240" w:lineRule="auto"/>
        <w:jc w:val="center"/>
        <w:keepNext/>
        <w:keepLines/>
        <w:widowControl w:val="1"/>
      </w:pPr>
      <w:r>
        <w:rPr>
          <w:b/>
          <w:i/>
        </w:rPr>
        <w:t>Table A6.</w:t>
      </w:r>
      <w:r>
        <w:rPr>
          <w:b w:val="0"/>
          <w:i/>
        </w:rPr>
        <w:t xml:space="preserve"> </w:t>
      </w:r>
      <w:r>
        <w:rPr>
          <w:b w:val="0"/>
          <w:i/>
        </w:rPr>
        <w:t>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Criterion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Pilot subset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Small-scale generation used for end-to-end validation of the data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Split sizes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 / 2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Train / validation / test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Completed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pilot responses completed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Text success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rows returned parsable review 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Duplicate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duplicate reviews detected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Length-band match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 control cleared the predeclared pilot threshold</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 review length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125.6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Observed average output length under the validated generation settings</w:t>
            </w:r>
          </w:p>
        </w:tc>
      </w:tr>
    </w:tbl>
    <w:p>
      <w:pPr>
        <w:pStyle w:val="BodyText"/>
        <w:jc w:val="center"/>
        <w:keepNext/>
        <w:keepLines/>
        <w:widowControl w:val="1"/>
      </w:pPr>
      <w:r>
        <w:drawing>
          <wp:inline>
            <wp:extent cx="5943600" cy="3850017"/>
            <wp:effectExtent b="0" l="0" r="0" t="0"/>
            <wp:docPr descr="Aspect count distribution in the pilot validation subset" title="" id="74" name="Picture"/>
            <a:graphic>
              <a:graphicData uri="http://schemas.openxmlformats.org/drawingml/2006/picture">
                <pic:pic>
                  <pic:nvPicPr>
                    <pic:cNvPr descr="C:/Users/apart/AppData/Local/Temp/html2doc_svg_4CrBQU/svg_9.png" id="75" name="Picture"/>
                    <pic:cNvPicPr>
                      <a:picLocks noChangeArrowheads="1" noChangeAspect="1"/>
                    </pic:cNvPicPr>
                  </pic:nvPicPr>
                  <pic:blipFill>
                    <a:blip r:embed="rId73"/>
                    <a:stretch>
                      <a:fillRect/>
                    </a:stretch>
                  </pic:blipFill>
                  <pic:spPr bwMode="auto">
                    <a:xfrm>
                      <a:off x="0" y="0"/>
                      <a:ext cx="5943600" cy="385001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Distribution of sampled target-aspect counts in the pilot validation subset. This appendix figure is retained because it documents the pilot mixture without duplicating the acceptance criteria already summarized in Table A6.</w:t>
      </w:r>
    </w:p>
    <w:bookmarkEnd w:id="76"/>
    <w:bookmarkStart w:id="77"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pStyle w:val="TableCaption"/>
        <w:spacing w:before="280" w:after="60" w:line="240" w:lineRule="auto"/>
        <w:jc w:val="center"/>
        <w:keepNext/>
        <w:keepLines/>
        <w:widowControl w:val="1"/>
      </w:pPr>
      <w:r>
        <w:rPr>
          <w:b/>
          <w:i/>
        </w:rPr>
        <w:t>Table A7.</w:t>
      </w:r>
      <w:r>
        <w:rPr>
          <w:b w:val="0"/>
          <w:i/>
        </w:rPr>
        <w:t xml:space="preserve"> </w:t>
      </w:r>
      <w:r>
        <w:rPr>
          <w:b w:val="0"/>
          <w:i/>
        </w:rPr>
        <w:t>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bookmarkEnd w:id="77"/>
    <w:bookmarkStart w:id="84"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5.3. They show how the two-step and joint formulations compare directly, how stable the strongest local models are across three seeds, and how a modest training-budget change affects BERT and DistilBERT.</w:t>
      </w:r>
    </w:p>
    <w:p>
      <w:pPr>
        <w:pStyle w:val="TableCaption"/>
        <w:spacing w:before="280" w:after="60" w:line="240" w:lineRule="auto"/>
        <w:jc w:val="center"/>
        <w:keepNext/>
        <w:keepLines/>
        <w:widowControl w:val="1"/>
      </w:pPr>
      <w:r>
        <w:rPr>
          <w:b/>
          <w:i/>
        </w:rPr>
        <w:t>Table A8.</w:t>
      </w:r>
      <w:r>
        <w:rPr>
          <w:b w:val="0"/>
          <w:i/>
        </w:rPr>
        <w:t xml:space="preserve"> </w:t>
      </w:r>
      <w:r>
        <w:rPr>
          <w:b w:val="0"/>
          <w:i/>
        </w:rPr>
        <w:t>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bl>
    <w:p>
      <w:pPr>
        <w:pStyle w:val="BodyText"/>
        <w:jc w:val="center"/>
        <w:keepNext/>
        <w:keepLines/>
        <w:widowControl w:val="1"/>
      </w:pPr>
      <w:r>
        <w:drawing>
          <wp:inline>
            <wp:extent cx="5943600" cy="3139327"/>
            <wp:effectExtent b="0" l="0" r="0" t="0"/>
            <wp:docPr descr="Seed stability across the strongest local models" title="" id="79" name="Picture"/>
            <a:graphic>
              <a:graphicData uri="http://schemas.openxmlformats.org/drawingml/2006/picture">
                <pic:pic>
                  <pic:nvPicPr>
                    <pic:cNvPr descr="C:/Users/apart/AppData/Local/Temp/html2doc_svg_4CrBQU/svg_10.png" id="80" name="Picture"/>
                    <pic:cNvPicPr>
                      <a:picLocks noChangeArrowheads="1" noChangeAspect="1"/>
                    </pic:cNvPicPr>
                  </pic:nvPicPr>
                  <pic:blipFill>
                    <a:blip r:embed="rId78"/>
                    <a:stretch>
                      <a:fillRect/>
                    </a:stretch>
                  </pic:blipFill>
                  <pic:spPr bwMode="auto">
                    <a:xfrm>
                      <a:off x="0" y="0"/>
                      <a:ext cx="5943600" cy="31393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Micro-F1 across three random seeds for TF-IDF, DistilBERT, and BERT. The figure highlights the strong stability of DistilBERT and the larger upside variance of BERT.</w:t>
      </w:r>
    </w:p>
    <w:p>
      <w:pPr>
        <w:pStyle w:val="TableCaption"/>
        <w:spacing w:before="280" w:after="60" w:line="240" w:lineRule="auto"/>
        <w:jc w:val="center"/>
        <w:keepNext/>
        <w:keepLines/>
        <w:widowControl w:val="1"/>
      </w:pPr>
      <w:r>
        <w:rPr>
          <w:b/>
          <w:i/>
        </w:rPr>
        <w:t>Table A9.</w:t>
      </w:r>
      <w:r>
        <w:rPr>
          <w:b w:val="0"/>
          <w:i/>
        </w:rPr>
        <w:t xml:space="preserve"> </w:t>
      </w:r>
      <w:r>
        <w:rPr>
          <w:b w:val="0"/>
          <w:i/>
        </w:rPr>
        <w:t>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std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0.0296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0.0158</w:t>
            </w:r>
          </w:p>
        </w:tc>
      </w:tr>
    </w:tbl>
    <w:p>
      <w:pPr>
        <w:pStyle w:val="BodyText"/>
        <w:jc w:val="center"/>
        <w:keepNext/>
        <w:keepLines/>
        <w:widowControl w:val="1"/>
      </w:pPr>
      <w:r>
        <w:drawing>
          <wp:inline>
            <wp:extent cx="5943600" cy="2804997"/>
            <wp:effectExtent b="0" l="0" r="0" t="0"/>
            <wp:docPr descr="Training-budget tuning comparison for BERT and DistilBERT" title="" id="82" name="Picture"/>
            <a:graphic>
              <a:graphicData uri="http://schemas.openxmlformats.org/drawingml/2006/picture">
                <pic:pic>
                  <pic:nvPicPr>
                    <pic:cNvPr descr="C:/Users/apart/AppData/Local/Temp/html2doc_svg_4CrBQU/svg_11.png" id="83" name="Picture"/>
                    <pic:cNvPicPr>
                      <a:picLocks noChangeArrowheads="1" noChangeAspect="1"/>
                    </pic:cNvPicPr>
                  </pic:nvPicPr>
                  <pic:blipFill>
                    <a:blip r:embed="rId81"/>
                    <a:stretch>
                      <a:fillRect/>
                    </a:stretch>
                  </pic:blipFill>
                  <pic:spPr bwMode="auto">
                    <a:xfrm>
                      <a:off x="0" y="0"/>
                      <a:ext cx="5943600" cy="280499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A4.</w:t>
      </w:r>
      <w:r>
        <w:rPr>
          <w:b w:val="0"/>
          <w:i/>
        </w:rPr>
        <w:t xml:space="preserve"> </w:t>
      </w:r>
      <w:r>
        <w:rPr>
          <w:b w:val="0"/>
          <w:i/>
        </w:rPr>
        <w:t>Effect of a modest training-budget change on the two strongest transformer baselines. BERT benefits noticeably from the longer lower-rate schedule, while DistilBERT remains essentially flat.</w:t>
      </w:r>
    </w:p>
    <w:p>
      <w:pPr>
        <w:pStyle w:val="TableCaption"/>
        <w:spacing w:before="280" w:after="60" w:line="240" w:lineRule="auto"/>
        <w:jc w:val="center"/>
        <w:keepNext/>
        <w:keepLines/>
        <w:widowControl w:val="1"/>
      </w:pPr>
      <w:r>
        <w:rPr>
          <w:b/>
          <w:i/>
        </w:rPr>
        <w:t>Table A10.</w:t>
      </w:r>
      <w:r>
        <w:rPr>
          <w:b w:val="0"/>
          <w:i/>
        </w:rPr>
        <w:t xml:space="preserve"> </w:t>
      </w:r>
      <w:r>
        <w:rPr>
          <w:b w:val="0"/>
          <w:i/>
        </w:rPr>
        <w:t>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0.2930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-0.0231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+0.0195</w:t>
            </w:r>
          </w:p>
        </w:tc>
      </w:tr>
    </w:tbl>
    <w:bookmarkEnd w:id="84"/>
    <w:bookmarkStart w:id="85"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pStyle w:val="TableCaption"/>
        <w:spacing w:before="280" w:after="60" w:line="240" w:lineRule="auto"/>
        <w:jc w:val="center"/>
        <w:keepNext/>
        <w:keepLines/>
        <w:widowControl w:val="1"/>
      </w:pPr>
      <w:r>
        <w:rPr>
          <w:b/>
          <w:i/>
        </w:rPr>
        <w:t>Table A11.</w:t>
      </w:r>
      <w:r>
        <w:rPr>
          <w:b w:val="0"/>
          <w:i/>
        </w:rPr>
        <w:t xml:space="preserve"> </w:t>
      </w:r>
      <w:r>
        <w:rPr>
          <w:b w:val="0"/>
          <w:i/>
        </w:rPr>
        <w:t>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balanced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specificity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MCC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0.7863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0.7325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few-shot-diverse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0.2261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0.7976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0.5403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0.7992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0.1162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r>
    </w:tbl>
    <w:bookmarkEnd w:id="85"/>
    <w:bookmarkStart w:id="89" w:name="X304f2205515e63fcc26284e332032d7c1071511"/>
    <w:p>
      <w:pPr>
        <w:pStyle w:val="Heading3"/>
        <w:keepNext/>
        <w:keepLines/>
        <w:widowControl w:val="1"/>
      </w:pPr>
      <w:r>
        <w:t xml:space="preserve">A.11 Generator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pStyle w:val="BodyText"/>
        <w:jc w:val="center"/>
        <w:keepNext/>
        <w:keepLines/>
        <w:widowControl w:val="1"/>
      </w:pPr>
      <w:r>
        <w:drawing>
          <wp:inline>
            <wp:extent cx="5943600" cy="1731311"/>
            <wp:effectExtent b="0" l="0" r="0" t="0"/>
            <wp:docPr descr="Realism improvement curve" title="" id="87" name="Picture"/>
            <a:graphic>
              <a:graphicData uri="http://schemas.openxmlformats.org/drawingml/2006/picture">
                <pic:pic>
                  <pic:nvPicPr>
                    <pic:cNvPr descr="C:/Users/apart/AppData/Local/Temp/html2doc_svg_4CrBQU/svg_12.png" id="88" name="Picture"/>
                    <pic:cNvPicPr>
                      <a:picLocks noChangeArrowheads="1" noChangeAspect="1"/>
                    </pic:cNvPicPr>
                  </pic:nvPicPr>
                  <pic:blipFill>
                    <a:blip r:embed="rId86"/>
                    <a:stretch>
                      <a:fillRect/>
                    </a:stretch>
                  </pic:blipFill>
                  <pic:spPr bwMode="auto">
                    <a:xfrm>
                      <a:off x="0" y="0"/>
                      <a:ext cx="5943600" cy="17313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A5.</w:t>
      </w:r>
      <w:r>
        <w:rPr>
          <w:b w:val="0"/>
          <w:i/>
        </w:rPr>
        <w:t xml:space="preserve"> </w:t>
      </w:r>
      <w:r>
        <w:rPr>
          <w:b w:val="0"/>
          <w:i/>
        </w:rPr>
        <w:t>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bookmarkEnd w:id="89"/>
    <w:bookmarkStart w:id="90" w:name="a.12-complementary-generator-diagnostics"/>
    <w:p>
      <w:pPr>
        <w:pStyle w:val="Heading3"/>
        <w:keepNext/>
        <w:keepLines/>
        <w:widowControl w:val="1"/>
      </w:pPr>
      <w:r>
        <w:t xml:space="preserve">A.12 Complementary Generator Diagnostics</w:t>
      </w:r>
    </w:p>
    <w:p>
      <w:pPr>
        <w:pStyle w:val="Compact"/>
        <w:numPr>
          <w:ilvl w:val="0"/>
          <w:numId w:val="1002"/>
        </w:numPr>
        <w:ind w:left="360" w:hanging="259"/>
        <w:jc w:val="both"/>
        <w:keepNext w:val="0"/>
        <w:keepLines w:val="0"/>
        <w:widowControl w:val="1"/>
      </w:pPr>
      <w:r>
        <w:t xml:space="preserve">A real-versus-synthetic validation harness with cycle-by-cycle prompt-debug logging.</w:t>
      </w:r>
    </w:p>
    <w:p>
      <w:pPr>
        <w:pStyle w:val="Compact"/>
        <w:numPr>
          <w:ilvl w:val="0"/>
          <w:numId w:val="1002"/>
        </w:numPr>
        <w:ind w:left="360" w:hanging="259"/>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in Section 5.8: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90"/>
    <w:bookmarkStart w:id="91" w:name="X3c5ea88a991f84838d32e28f95869c20603e169"/>
    <w:p>
      <w:pPr>
        <w:pStyle w:val="Heading3"/>
        <w:keepNext/>
        <w:keepLines/>
        <w:widowControl w:val="1"/>
      </w:pPr>
      <w:r>
        <w:t xml:space="preserve">A.13 Three-Cycle Realism-Validation Results</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pStyle w:val="TableCaption"/>
        <w:spacing w:before="280" w:after="60" w:line="240" w:lineRule="auto"/>
        <w:jc w:val="center"/>
        <w:keepNext/>
        <w:keepLines/>
        <w:widowControl w:val="1"/>
      </w:pPr>
      <w:r>
        <w:rPr>
          <w:b/>
          <w:i/>
        </w:rPr>
        <w:t>Table A12.</w:t>
      </w:r>
      <w:r>
        <w:rPr>
          <w:b w:val="0"/>
          <w:i/>
        </w:rPr>
        <w:t xml:space="preserve"> </w:t>
      </w:r>
      <w:r>
        <w:rPr>
          <w:b w:val="0"/>
          <w:i/>
        </w:rPr>
        <w:t>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A12.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Prompt 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Cycle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Judge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confusion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entropy (bits)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Binomial p-value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Editor triggered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rich_attributes_baseline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reduce_synthetic_signatures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messier_realism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0.6430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no</w:t>
            </w:r>
          </w:p>
        </w:tc>
      </w:tr>
    </w:tbl>
    <w:p>
      <w:pPr>
        <w:pStyle w:val="BodyText"/>
        <w:spacing w:before="240"/>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bookmarkEnd w:id="91"/>
    <w:bookmarkStart w:id="92" w:name="a.14-full-corpus-output-control"/>
    <w:p>
      <w:pPr>
        <w:pStyle w:val="Heading3"/>
        <w:keepNext/>
        <w:keepLines/>
        <w:widowControl w:val="1"/>
      </w:pPr>
      <w:r>
        <w:t xml:space="preserve">A.14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The resulting dataset is therefore broad and usable while still leaving room for stronger long-form control in later releases.</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3 makes this visible directly by combining length, aspect-count, course, and style evidence in one place.</w:t>
      </w:r>
    </w:p>
    <w:bookmarkEnd w:id="92"/>
    <w:bookmarkEnd w:id="93"/>
    <w:bookmarkStart w:id="125" w:name="bibliography"/>
    <w:p>
      <w:pPr>
        <w:pStyle w:val="Heading2"/>
        <w:keepNext/>
        <w:keepLines/>
        <w:widowControl w:val="1"/>
      </w:pPr>
      <w:r>
        <w:t xml:space="preserve">Bibliography</w:t>
      </w:r>
    </w:p>
    <w:p>
      <w:pPr>
        <w:pStyle w:val="Compact"/>
        <w:numPr>
          <w:ilvl w:val="0"/>
          <w:numId w:val="1003"/>
        </w:numPr>
        <w:ind w:left="360" w:hanging="259"/>
        <w:jc w:val="both"/>
        <w:keepNext w:val="0"/>
        <w:keepLines w:val="0"/>
        <w:widowControl w:val="1"/>
      </w:pPr>
      <w:r>
        <w:t xml:space="preserve">J.W. Gikandi, D. Morrow, and N.E. Davis. 2011.</w:t>
      </w:r>
      <w:r>
        <w:t xml:space="preserve"> </w:t>
      </w:r>
      <w:hyperlink r:id="rId94">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ind w:left="360" w:hanging="259"/>
        <w:jc w:val="both"/>
        <w:keepNext w:val="0"/>
        <w:keepLines w:val="0"/>
        <w:widowControl w:val="1"/>
      </w:pPr>
      <w:r>
        <w:t xml:space="preserve">Maria Pontiki, Haris Papageorgiou, Dimitrios Galanis, Ion Androutsopoulos, John Pavlopoulos, and Suresh Manandhar. 2014.</w:t>
      </w:r>
      <w:r>
        <w:t xml:space="preserve"> </w:t>
      </w:r>
      <w:hyperlink r:id="rId95">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ind w:left="360" w:hanging="259"/>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96">
        <w:r>
          <w:rPr>
            <w:rStyle w:val="Hyperlink"/>
          </w:rPr>
          <w:t xml:space="preserve">SemEval-2016 Task 5: Aspect Based Sentiment Analysis</w:t>
        </w:r>
      </w:hyperlink>
      <w:r>
        <w:t xml:space="preserve">. Proceedings of SemEval-2016, pages 19-30.</w:t>
      </w:r>
    </w:p>
    <w:p>
      <w:pPr>
        <w:pStyle w:val="Compact"/>
        <w:numPr>
          <w:ilvl w:val="0"/>
          <w:numId w:val="1003"/>
        </w:numPr>
        <w:ind w:left="360" w:hanging="259"/>
        <w:jc w:val="both"/>
        <w:keepNext w:val="0"/>
        <w:keepLines w:val="0"/>
        <w:widowControl w:val="1"/>
      </w:pPr>
      <w:r>
        <w:t xml:space="preserve">Jacob Devlin, Ming-Wei Chang, Kenton Lee, and Kristina Toutanova. 2019.</w:t>
      </w:r>
      <w:r>
        <w:t xml:space="preserve"> </w:t>
      </w:r>
      <w:hyperlink r:id="rId97">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ind w:left="360" w:hanging="259"/>
        <w:jc w:val="both"/>
        <w:keepNext w:val="0"/>
        <w:keepLines w:val="0"/>
        <w:widowControl w:val="1"/>
      </w:pPr>
      <w:r>
        <w:t xml:space="preserve">Yice Zhang, Yifan Yang, Bin Liang, Shiwei Chen, Bing Qin, and Ruifeng Xu. 2023.</w:t>
      </w:r>
      <w:r>
        <w:t xml:space="preserve"> </w:t>
      </w:r>
      <w:hyperlink r:id="rId98">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ind w:left="360" w:hanging="259"/>
        <w:jc w:val="both"/>
        <w:keepNext w:val="0"/>
        <w:keepLines w:val="0"/>
        <w:widowControl w:val="1"/>
      </w:pPr>
      <w:r>
        <w:t xml:space="preserve">Zhuoyan Li, Hangxiao Zhu, Zhuoran Lu, and Ming Yin. 2023.</w:t>
      </w:r>
      <w:r>
        <w:t xml:space="preserve"> </w:t>
      </w:r>
      <w:hyperlink r:id="rId99">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ind w:left="360" w:hanging="259"/>
        <w:jc w:val="both"/>
        <w:keepNext w:val="0"/>
        <w:keepLines w:val="0"/>
        <w:widowControl w:val="1"/>
      </w:pPr>
      <w:r>
        <w:t xml:space="preserve">Charles Welch and Rada Mihalcea. 2016.</w:t>
      </w:r>
      <w:r>
        <w:t xml:space="preserve"> </w:t>
      </w:r>
      <w:hyperlink r:id="rId100">
        <w:r>
          <w:rPr>
            <w:rStyle w:val="Hyperlink"/>
          </w:rPr>
          <w:t xml:space="preserve">Targeted Sentiment to Understand Student Comments</w:t>
        </w:r>
      </w:hyperlink>
      <w:r>
        <w:t xml:space="preserve">. COLING 2016, pages 2471-2481.</w:t>
      </w:r>
    </w:p>
    <w:p>
      <w:pPr>
        <w:pStyle w:val="Compact"/>
        <w:numPr>
          <w:ilvl w:val="0"/>
          <w:numId w:val="1003"/>
        </w:numPr>
        <w:ind w:left="360" w:hanging="259"/>
        <w:jc w:val="both"/>
        <w:keepNext w:val="0"/>
        <w:keepLines w:val="0"/>
        <w:widowControl w:val="1"/>
      </w:pPr>
      <w:r>
        <w:t xml:space="preserve">Janaka Chathuranga, Shanika Ediriweera, Ravindu Hasantha, Pranidhith Munasinghe, and Surangika Ranathunga. 2018.</w:t>
      </w:r>
      <w:r>
        <w:t xml:space="preserve"> </w:t>
      </w:r>
      <w:hyperlink r:id="rId101">
        <w:r>
          <w:rPr>
            <w:rStyle w:val="Hyperlink"/>
          </w:rPr>
          <w:t xml:space="preserve">Annotating Opinions and Opinion Targets in Student Course Feedback</w:t>
        </w:r>
      </w:hyperlink>
      <w:r>
        <w:t xml:space="preserve">. LREC 2018 Workshop paper.</w:t>
      </w:r>
    </w:p>
    <w:p>
      <w:pPr>
        <w:pStyle w:val="Compact"/>
        <w:numPr>
          <w:ilvl w:val="0"/>
          <w:numId w:val="1003"/>
        </w:numPr>
        <w:ind w:left="360" w:hanging="259"/>
        <w:jc w:val="both"/>
        <w:keepNext w:val="0"/>
        <w:keepLines w:val="0"/>
        <w:widowControl w:val="1"/>
      </w:pPr>
      <w:r>
        <w:t xml:space="preserve">Nikola Nikolić, Olivera Grljević, and Aleksandar Kovačević. 2020.</w:t>
      </w:r>
      <w:r>
        <w:t xml:space="preserve"> </w:t>
      </w:r>
      <w:hyperlink r:id="rId102">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ind w:left="360" w:hanging="259"/>
        <w:jc w:val="both"/>
        <w:keepNext w:val="0"/>
        <w:keepLines w:val="0"/>
        <w:widowControl w:val="1"/>
      </w:pPr>
      <w:r>
        <w:t xml:space="preserve">Thanveer Shaik, Xiaohui Tao, Yan Li, Christopher Dann, Jacquie McDonald, Petrea Redmond, and Linda Galligan. 2022.</w:t>
      </w:r>
      <w:r>
        <w:t xml:space="preserve"> </w:t>
      </w:r>
      <w:hyperlink r:id="rId103">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ind w:left="360" w:hanging="259"/>
        <w:jc w:val="both"/>
        <w:keepNext w:val="0"/>
        <w:keepLines w:val="0"/>
        <w:widowControl w:val="1"/>
      </w:pPr>
      <w:r>
        <w:t xml:space="preserve">Missaka Herath, Kushan Chamindu, Hashan Maduwantha, and Surangika Ranathunga. 2022.</w:t>
      </w:r>
      <w:r>
        <w:t xml:space="preserve"> </w:t>
      </w:r>
      <w:hyperlink r:id="rId104">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ind w:left="360" w:hanging="259"/>
        <w:jc w:val="both"/>
        <w:keepNext w:val="0"/>
        <w:keepLines w:val="0"/>
        <w:widowControl w:val="1"/>
      </w:pPr>
      <w:r>
        <w:t xml:space="preserve">Yan Cathy Hua, Paul Denny, Jörg Wicker, and Katerina Taskova. 2025.</w:t>
      </w:r>
      <w:r>
        <w:t xml:space="preserve"> </w:t>
      </w:r>
      <w:hyperlink r:id="rId105">
        <w:r>
          <w:rPr>
            <w:rStyle w:val="Hyperlink"/>
          </w:rPr>
          <w:t xml:space="preserve">EduRABSA: An Education Review Dataset for Aspect-based Sentiment Analysis Tasks</w:t>
        </w:r>
      </w:hyperlink>
      <w:r>
        <w:t xml:space="preserve">. arXiv:2508.17008.</w:t>
      </w:r>
    </w:p>
    <w:p>
      <w:pPr>
        <w:pStyle w:val="Compact"/>
        <w:numPr>
          <w:ilvl w:val="0"/>
          <w:numId w:val="1003"/>
        </w:numPr>
        <w:ind w:left="360" w:hanging="259"/>
        <w:jc w:val="both"/>
        <w:keepNext w:val="0"/>
        <w:keepLines w:val="0"/>
        <w:widowControl w:val="1"/>
      </w:pPr>
      <w:r>
        <w:t xml:space="preserve">Ting-Wei Hsu, Chung-Chi Chen, Hen-Hsen Huang, and Hsin-Hsi Chen. 2021.</w:t>
      </w:r>
      <w:r>
        <w:t xml:space="preserve"> </w:t>
      </w:r>
      <w:hyperlink r:id="rId106">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ind w:left="360" w:hanging="259"/>
        <w:jc w:val="both"/>
        <w:keepNext w:val="0"/>
        <w:keepLines w:val="0"/>
        <w:widowControl w:val="1"/>
      </w:pPr>
      <w:r>
        <w:t xml:space="preserve">Timo Schick and Hinrich Schütze. 2021.</w:t>
      </w:r>
      <w:r>
        <w:t xml:space="preserve"> </w:t>
      </w:r>
      <w:hyperlink r:id="rId107">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ind w:left="360" w:hanging="259"/>
        <w:jc w:val="both"/>
        <w:keepNext w:val="0"/>
        <w:keepLines w:val="0"/>
        <w:widowControl w:val="1"/>
      </w:pPr>
      <w:r>
        <w:t xml:space="preserve">Hang Yan, Junqi Dai, Tuo Ji, Xipeng Qiu, and Zheng Zhang. 2021.</w:t>
      </w:r>
      <w:r>
        <w:t xml:space="preserve"> </w:t>
      </w:r>
      <w:hyperlink r:id="rId108">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ind w:left="360" w:hanging="259"/>
        <w:jc w:val="both"/>
        <w:keepNext w:val="0"/>
        <w:keepLines w:val="0"/>
        <w:widowControl w:val="1"/>
      </w:pPr>
      <w:r>
        <w:t xml:space="preserve">Jian Liu, Zhiyang Teng, Leyang Cui, Hanmeng Liu, and Yue Zhang. 2021.</w:t>
      </w:r>
      <w:r>
        <w:t xml:space="preserve"> </w:t>
      </w:r>
      <w:hyperlink r:id="rId109">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ind w:left="360" w:hanging="259"/>
        <w:jc w:val="both"/>
        <w:keepNext w:val="0"/>
        <w:keepLines w:val="0"/>
        <w:widowControl w:val="1"/>
      </w:pPr>
      <w:r>
        <w:t xml:space="preserve">Michelangelo Misuraca, Germana Scepi, and Maria Spano. 2021.</w:t>
      </w:r>
      <w:r>
        <w:t xml:space="preserve"> </w:t>
      </w:r>
      <w:hyperlink r:id="rId110">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ind w:left="360" w:hanging="259"/>
        <w:jc w:val="both"/>
        <w:keepNext w:val="0"/>
        <w:keepLines w:val="0"/>
        <w:widowControl w:val="1"/>
      </w:pPr>
      <w:r>
        <w:t xml:space="preserve">Thanveer Shaik, Xiaohui Tao, Christopher Dann, Haoran Xie, Yan Li, and Linda Galligan. 2023.</w:t>
      </w:r>
      <w:r>
        <w:t xml:space="preserve"> </w:t>
      </w:r>
      <w:hyperlink r:id="rId111">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ind w:left="360" w:hanging="259"/>
        <w:jc w:val="both"/>
        <w:keepNext w:val="0"/>
        <w:keepLines w:val="0"/>
        <w:widowControl w:val="1"/>
      </w:pPr>
      <w:r>
        <w:t xml:space="preserve">Charalampos Dervenis, Giannis Kanakis, and Panos Fitsilis. 2024.</w:t>
      </w:r>
      <w:r>
        <w:t xml:space="preserve"> </w:t>
      </w:r>
      <w:hyperlink r:id="rId112">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ind w:left="360" w:hanging="259"/>
        <w:jc w:val="both"/>
        <w:keepNext w:val="0"/>
        <w:keepLines w:val="0"/>
        <w:widowControl w:val="1"/>
      </w:pPr>
      <w:r>
        <w:t xml:space="preserve">Aleksandra Edwards and Jose Camacho-Collados. 2024.</w:t>
      </w:r>
      <w:r>
        <w:t xml:space="preserve"> </w:t>
      </w:r>
      <w:hyperlink r:id="rId113">
        <w:r>
          <w:rPr>
            <w:rStyle w:val="Hyperlink"/>
          </w:rPr>
          <w:t xml:space="preserve">Language Models for Text Classification: Is In-Context Learning Enough?</w:t>
        </w:r>
      </w:hyperlink>
      <w:r>
        <w:t xml:space="preserve">. Proceedings of LREC-COLING 2024, pages 10058-10072.</w:t>
      </w:r>
    </w:p>
    <w:p>
      <w:pPr>
        <w:pStyle w:val="Compact"/>
        <w:numPr>
          <w:ilvl w:val="0"/>
          <w:numId w:val="1003"/>
        </w:numPr>
        <w:ind w:left="360" w:hanging="259"/>
        <w:jc w:val="both"/>
        <w:keepNext w:val="0"/>
        <w:keepLines w:val="0"/>
        <w:widowControl w:val="1"/>
      </w:pPr>
      <w:r>
        <w:t xml:space="preserve">John Hattie and Helen Timperley. 2007.</w:t>
      </w:r>
      <w:r>
        <w:t xml:space="preserve"> </w:t>
      </w:r>
      <w:hyperlink r:id="rId114">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ind w:left="360" w:hanging="259"/>
        <w:jc w:val="both"/>
        <w:keepNext w:val="0"/>
        <w:keepLines w:val="0"/>
        <w:widowControl w:val="1"/>
      </w:pPr>
      <w:r>
        <w:t xml:space="preserve">David Carless and David Boud. 2018.</w:t>
      </w:r>
      <w:r>
        <w:t xml:space="preserve"> </w:t>
      </w:r>
      <w:hyperlink r:id="rId115">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ind w:left="360" w:hanging="259"/>
        <w:jc w:val="both"/>
        <w:keepNext w:val="0"/>
        <w:keepLines w:val="0"/>
        <w:widowControl w:val="1"/>
      </w:pPr>
      <w:r>
        <w:t xml:space="preserve">Michael Henderson, Michael Phillips, Tracii Ryan, David Boud, Phillip Dawson, Elizabeth Molloy, and Paige Mahoney. 2019.</w:t>
      </w:r>
      <w:r>
        <w:t xml:space="preserve"> </w:t>
      </w:r>
      <w:hyperlink r:id="rId116">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ind w:left="360" w:hanging="259"/>
        <w:jc w:val="both"/>
        <w:keepNext w:val="0"/>
        <w:keepLines w:val="0"/>
        <w:widowControl w:val="1"/>
      </w:pPr>
      <w:r>
        <w:t xml:space="preserve">Swapna Gottipati, Venky Shankararaman, and Jeff Rongsheng Lin. 2018.</w:t>
      </w:r>
      <w:r>
        <w:t xml:space="preserve"> </w:t>
      </w:r>
      <w:hyperlink r:id="rId117">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ind w:left="360" w:hanging="259"/>
        <w:jc w:val="both"/>
        <w:keepNext w:val="0"/>
        <w:keepLines w:val="0"/>
        <w:widowControl w:val="1"/>
      </w:pPr>
      <w:r>
        <w:t xml:space="preserve">Maija Hujala, Antti Knutas, Timo Hynninen, and Heli Arminen. 2020.</w:t>
      </w:r>
      <w:r>
        <w:t xml:space="preserve"> </w:t>
      </w:r>
      <w:hyperlink r:id="rId118">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ind w:left="360" w:hanging="259"/>
        <w:jc w:val="both"/>
        <w:keepNext w:val="0"/>
        <w:keepLines w:val="0"/>
        <w:widowControl w:val="1"/>
      </w:pPr>
      <w:r>
        <w:t xml:space="preserve">Steven Y. Feng, Varun Gangal, Jason Wei, Sarath Chandar, Soroush Vosoughi, Teruko Mitamura, and Eduard Hovy. 2021.</w:t>
      </w:r>
      <w:r>
        <w:t xml:space="preserve"> </w:t>
      </w:r>
      <w:hyperlink r:id="rId119">
        <w:r>
          <w:rPr>
            <w:rStyle w:val="Hyperlink"/>
          </w:rPr>
          <w:t xml:space="preserve">A Survey of Data Augmentation Approaches for NLP</w:t>
        </w:r>
      </w:hyperlink>
      <w:r>
        <w:t xml:space="preserve">. Findings of ACL 2021, pages 968-988.</w:t>
      </w:r>
    </w:p>
    <w:p>
      <w:pPr>
        <w:pStyle w:val="Compact"/>
        <w:numPr>
          <w:ilvl w:val="0"/>
          <w:numId w:val="1003"/>
        </w:numPr>
        <w:ind w:left="360" w:hanging="259"/>
        <w:jc w:val="both"/>
        <w:keepNext w:val="0"/>
        <w:keepLines w:val="0"/>
        <w:widowControl w:val="1"/>
      </w:pPr>
      <w:r>
        <w:t xml:space="preserve">Yu Meng, Jiaxin Huang, Yu Zhang, and Jiawei Han. 2022.</w:t>
      </w:r>
      <w:r>
        <w:t xml:space="preserve"> </w:t>
      </w:r>
      <w:hyperlink r:id="rId120">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ind w:left="360" w:hanging="259"/>
        <w:jc w:val="both"/>
        <w:keepNext w:val="0"/>
        <w:keepLines w:val="0"/>
        <w:widowControl w:val="1"/>
      </w:pPr>
      <w:r>
        <w:t xml:space="preserve">Yizhong Wang, Yeganeh Kordi, Swaroop Mishra, Alisa Liu, Noah A. Smith, Daniel Khashabi, and Hannaneh Hajishirzi. 2023.</w:t>
      </w:r>
      <w:r>
        <w:t xml:space="preserve"> </w:t>
      </w:r>
      <w:hyperlink r:id="rId121">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ind w:left="360" w:hanging="259"/>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22">
        <w:r>
          <w:rPr>
            <w:rStyle w:val="Hyperlink"/>
          </w:rPr>
          <w:t xml:space="preserve">Instruction Tuning for Few-Shot Aspect-Based Sentiment Analysis</w:t>
        </w:r>
      </w:hyperlink>
      <w:r>
        <w:t xml:space="preserve">. Proceedings of WASSA 2023, pages 28-37.</w:t>
      </w:r>
    </w:p>
    <w:p>
      <w:pPr>
        <w:pStyle w:val="Compact"/>
        <w:numPr>
          <w:ilvl w:val="0"/>
          <w:numId w:val="1003"/>
        </w:numPr>
        <w:ind w:left="360" w:hanging="259"/>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23">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ind w:left="360" w:hanging="259"/>
        <w:jc w:val="both"/>
        <w:keepNext w:val="0"/>
        <w:keepLines w:val="0"/>
        <w:widowControl w:val="1"/>
      </w:pPr>
      <w:r>
        <w:t xml:space="preserve">Wenxuan Zhang, Yue Deng, Bing Liu, Sinno Jialin Pan, and Lidong Bing. 2024.</w:t>
      </w:r>
      <w:r>
        <w:t xml:space="preserve"> </w:t>
      </w:r>
      <w:hyperlink r:id="rId124">
        <w:r>
          <w:rPr>
            <w:rStyle w:val="Hyperlink"/>
          </w:rPr>
          <w:t xml:space="preserve">Sentiment Analysis in the Era of Large Language Models: A Reality Check</w:t>
        </w:r>
      </w:hyperlink>
      <w:r>
        <w:t xml:space="preserve">. Findings of NAACL 2024, pages 3892-3910.</w:t>
      </w:r>
    </w:p>
    <w:bookmarkEnd w:id="125"/>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7" Type="http://schemas.openxmlformats.org/officeDocument/2006/relationships/image" Target="media/rId27.png"/><Relationship Id="rId78" Type="http://schemas.openxmlformats.org/officeDocument/2006/relationships/image" Target="media/rId78.png"/><Relationship Id="rId81" Type="http://schemas.openxmlformats.org/officeDocument/2006/relationships/image" Target="media/rId81.png"/><Relationship Id="rId86" Type="http://schemas.openxmlformats.org/officeDocument/2006/relationships/image" Target="media/rId86.png"/><Relationship Id="rId30" Type="http://schemas.openxmlformats.org/officeDocument/2006/relationships/image" Target="media/rId30.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7" Type="http://schemas.openxmlformats.org/officeDocument/2006/relationships/image" Target="media/rId47.png"/><Relationship Id="rId53" Type="http://schemas.openxmlformats.org/officeDocument/2006/relationships/image" Target="media/rId53.png"/><Relationship Id="rId68" Type="http://schemas.openxmlformats.org/officeDocument/2006/relationships/image" Target="media/rId68.png"/><Relationship Id="rId73" Type="http://schemas.openxmlformats.org/officeDocument/2006/relationships/image" Target="media/rId73.png"/><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05" Type="http://schemas.openxmlformats.org/officeDocument/2006/relationships/hyperlink" Target="https://arxiv.org/abs/2508.17008" TargetMode="External"/><Relationship Id="rId118" Type="http://schemas.openxmlformats.org/officeDocument/2006/relationships/hyperlink" Target="https://doi.org/10.1016/j.compedu.2020.103965"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05" Type="http://schemas.openxmlformats.org/officeDocument/2006/relationships/hyperlink" Target="https://arxiv.org/abs/2508.17008" TargetMode="External"/><Relationship Id="rId118" Type="http://schemas.openxmlformats.org/officeDocument/2006/relationships/hyperlink" Target="https://doi.org/10.1016/j.compedu.2020.103965"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2026-06-05T11:18:51Z</dcterms:created>
  <dcterms:modified xsi:type="dcterms:W3CDTF">2026-06-05T11:18:51Z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