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0.34 to 0.42 across both BERT-family architectures and both transfer targets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yyq6PA/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5943600" cy="4272623"/>
            <wp:effectExtent b="0" l="0" r="0" t="0"/>
            <wp:docPr descr="Aspect sentiment heatmap" title="" id="28" name="Picture"/>
            <a:graphic>
              <a:graphicData uri="http://schemas.openxmlformats.org/drawingml/2006/picture">
                <pic:pic>
                  <pic:nvPicPr>
                    <pic:cNvPr descr="C:/Users/apart/AppData/Local/Temp/html2doc_svg_yyq6PA/svg_1.png" id="29" name="Picture"/>
                    <pic:cNvPicPr>
                      <a:picLocks noChangeArrowheads="1" noChangeAspect="1"/>
                    </pic:cNvPicPr>
                  </pic:nvPicPr>
                  <pic:blipFill>
                    <a:blip r:embed="rId27"/>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31" name="Picture"/>
            <a:graphic>
              <a:graphicData uri="http://schemas.openxmlformats.org/drawingml/2006/picture">
                <pic:pic>
                  <pic:nvPicPr>
                    <pic:cNvPr descr="C:/Users/apart/AppData/Local/Temp/html2doc_svg_yyq6PA/svg_2.png" id="32" name="Picture"/>
                    <pic:cNvPicPr>
                      <a:picLocks noChangeArrowheads="1" noChangeAspect="1"/>
                    </pic:cNvPicPr>
                  </pic:nvPicPr>
                  <pic:blipFill>
                    <a:blip r:embed="rId30"/>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33"/>
    <w:bookmarkStart w:id="34" w:name="scope-of-reported-analyses"/>
    <w:p>
      <w:pPr>
        <w:pStyle w:val="Heading3"/>
        <w:keepNext/>
        <w:keepLines/>
        <w:widowControl w:val="1"/>
      </w:pPr>
      <w:r>
        <w:t xml:space="preserve">5.2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the same signal the faithfulness-aware filtering in Section 5.9 exploits on the training side, and it is why the benchmark is positioned as a controllable resource with an explicit, measurable label-noise level rather than as a saturated leaderboard.</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36" name="Picture"/>
            <a:graphic>
              <a:graphicData uri="http://schemas.openxmlformats.org/drawingml/2006/picture">
                <pic:pic>
                  <pic:nvPicPr>
                    <pic:cNvPr descr="C:/Users/apart/AppData/Local/Temp/html2doc_svg_yyq6PA/svg_3.png" id="37" name="Picture"/>
                    <pic:cNvPicPr>
                      <a:picLocks noChangeArrowheads="1" noChangeAspect="1"/>
                    </pic:cNvPicPr>
                  </pic:nvPicPr>
                  <pic:blipFill>
                    <a:blip r:embed="rId35"/>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41" name="Picture"/>
            <a:graphic>
              <a:graphicData uri="http://schemas.openxmlformats.org/drawingml/2006/picture">
                <pic:pic>
                  <pic:nvPicPr>
                    <pic:cNvPr descr="C:/Users/apart/AppData/Local/Temp/html2doc_svg_yyq6PA/svg_4.png" id="42" name="Picture"/>
                    <pic:cNvPicPr>
                      <a:picLocks noChangeArrowheads="1" noChangeAspect="1"/>
                    </pic:cNvPicPr>
                  </pic:nvPicPr>
                  <pic:blipFill>
                    <a:blip r:embed="rId40"/>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The corpus authors report supervised baselines trained and evaluated on the real Herath data itself: F1 0.64 for target-oriented opinion and aspect-term extraction and 0.75 for aspect-level sentiment, using fine-tuned BERT- and RoBERTa-family encoders [11]. Those tasks are formulated differently from our multi-label nine-aspect category detection, so the numbers are a contextual reference rather than a head-to-head comparison. Read against them, the present 0.4593 detection micro-F1 is obtained with no real training data at all: purely synthetic supervision recovers a substantial share of what in-domain real training achieves on this corpus, which is the relevant property when no labeled institutional data are available.</w:t>
      </w:r>
    </w:p>
    <w:p>
      <w:pPr>
        <w:pStyle w:val="TableCaption"/>
        <w:spacing w:before="28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45" name="Picture"/>
            <a:graphic>
              <a:graphicData uri="http://schemas.openxmlformats.org/drawingml/2006/picture">
                <pic:pic>
                  <pic:nvPicPr>
                    <pic:cNvPr descr="C:/Users/apart/AppData/Local/Temp/html2doc_svg_yyq6PA/svg_5.png" id="46" name="Picture"/>
                    <pic:cNvPicPr>
                      <a:picLocks noChangeArrowheads="1" noChangeAspect="1"/>
                    </pic:cNvPicPr>
                  </pic:nvPicPr>
                  <pic:blipFill>
                    <a:blip r:embed="rId44"/>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48" name="Picture"/>
            <a:graphic>
              <a:graphicData uri="http://schemas.openxmlformats.org/drawingml/2006/picture">
                <pic:pic>
                  <pic:nvPicPr>
                    <pic:cNvPr descr="C:/Users/apart/AppData/Local/Temp/html2doc_svg_yyq6PA/svg_6.png" id="49" name="Picture"/>
                    <pic:cNvPicPr>
                      <a:picLocks noChangeArrowheads="1" noChangeAspect="1"/>
                    </pic:cNvPicPr>
                  </pic:nvPicPr>
                  <pic:blipFill>
                    <a:blip r:embed="rId47"/>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TableCaption"/>
        <w:spacing w:before="28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TableCaption"/>
        <w:spacing w:before="28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yyq6PA/svg_7.png" id="55" name="Picture"/>
                    <pic:cNvPicPr>
                      <a:picLocks noChangeArrowheads="1" noChangeAspect="1"/>
                    </pic:cNvPicPr>
                  </pic:nvPicPr>
                  <pic:blipFill>
                    <a:blip r:embed="rId53"/>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human re-annotation of the audit is the natural next validation step.</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and label-faithfulness analyses are conducted with LLM judges: realism improves prompt quality without establishing statistical indistinguishability from real reviews, and faithfulness is bounded by cross-provider judge agreement and by the behavioral negative control rather than by human labels, so human re-annotation of both is the natural next validation.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9" name="Picture"/>
            <a:graphic>
              <a:graphicData uri="http://schemas.openxmlformats.org/drawingml/2006/picture">
                <pic:pic>
                  <pic:nvPicPr>
                    <pic:cNvPr descr="C:/Users/apart/AppData/Local/Temp/html2doc_svg_yyq6PA/svg_8.png" id="70" name="Picture"/>
                    <pic:cNvPicPr>
                      <a:picLocks noChangeArrowheads="1" noChangeAspect="1"/>
                    </pic:cNvPicPr>
                  </pic:nvPicPr>
                  <pic:blipFill>
                    <a:blip r:embed="rId68"/>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74" name="Picture"/>
            <a:graphic>
              <a:graphicData uri="http://schemas.openxmlformats.org/drawingml/2006/picture">
                <pic:pic>
                  <pic:nvPicPr>
                    <pic:cNvPr descr="C:/Users/apart/AppData/Local/Temp/html2doc_svg_yyq6PA/svg_9.png" id="75" name="Picture"/>
                    <pic:cNvPicPr>
                      <a:picLocks noChangeArrowheads="1" noChangeAspect="1"/>
                    </pic:cNvPicPr>
                  </pic:nvPicPr>
                  <pic:blipFill>
                    <a:blip r:embed="rId73"/>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79" name="Picture"/>
            <a:graphic>
              <a:graphicData uri="http://schemas.openxmlformats.org/drawingml/2006/picture">
                <pic:pic>
                  <pic:nvPicPr>
                    <pic:cNvPr descr="C:/Users/apart/AppData/Local/Temp/html2doc_svg_yyq6PA/svg_10.png" id="80" name="Picture"/>
                    <pic:cNvPicPr>
                      <a:picLocks noChangeArrowheads="1" noChangeAspect="1"/>
                    </pic:cNvPicPr>
                  </pic:nvPicPr>
                  <pic:blipFill>
                    <a:blip r:embed="rId78"/>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82" name="Picture"/>
            <a:graphic>
              <a:graphicData uri="http://schemas.openxmlformats.org/drawingml/2006/picture">
                <pic:pic>
                  <pic:nvPicPr>
                    <pic:cNvPr descr="C:/Users/apart/AppData/Local/Temp/html2doc_svg_yyq6PA/svg_11.png" id="83" name="Picture"/>
                    <pic:cNvPicPr>
                      <a:picLocks noChangeArrowheads="1" noChangeAspect="1"/>
                    </pic:cNvPicPr>
                  </pic:nvPicPr>
                  <pic:blipFill>
                    <a:blip r:embed="rId81"/>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87" name="Picture"/>
            <a:graphic>
              <a:graphicData uri="http://schemas.openxmlformats.org/drawingml/2006/picture">
                <pic:pic>
                  <pic:nvPicPr>
                    <pic:cNvPr descr="C:/Users/apart/AppData/Local/Temp/html2doc_svg_yyq6PA/svg_12.png" id="88" name="Picture"/>
                    <pic:cNvPicPr>
                      <a:picLocks noChangeArrowheads="1" noChangeAspect="1"/>
                    </pic:cNvPicPr>
                  </pic:nvPicPr>
                  <pic:blipFill>
                    <a:blip r:embed="rId86"/>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2026-06-05T08:28:13Z</dcterms:created>
  <dcterms:modified xsi:type="dcterms:W3CDTF">2026-06-05T08:28:13Z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