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0.34 to 0.42 across both BERT-family architectures and both transfer targets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bvRm5D/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bvRm5D/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bvRm5D/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the same signal the faithfulness-aware filtering in Section 5.9 exploits on the training side, and it is why the benchmark is positioned as a controllable resource with an explicit, measurable label-noise level rather than as a saturated leaderboard.</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bvRm5D/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bvRm5D/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The corpus authors report supervised baselines trained and evaluated on the real Herath data itself: F1 0.64 for target-oriented opinion and aspect-term extraction and 0.75 for aspect-level sentiment, using fine-tuned BERT- and RoBERTa-family encoders [11]. Those tasks are formulated differently from our multi-label nine-aspect category detection, so the numbers are a contextual reference rather than a head-to-head comparison. Read against them, the present 0.4593 detection micro-F1 is obtained with no real training data at all: purely synthetic supervision recovers a substantial share of what in-domain real training achieves on this corpus, which is the relevant property when no labeled institutional data are available.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bvRm5D/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bvRm5D/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4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bvRm5D/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bvRm5D/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bvRm5D/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bvRm5D/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bvRm5D/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bvRm5D/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2026-06-05T08:28:18Z</dcterms:created>
  <dcterms:modified xsi:type="dcterms:W3CDTF">2026-06-05T08:28:18Z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