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on Herath across two architectures (paired 95% bootstrap CI excludes zero), and a lowest-faithfulness control collapses transfer on both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that collapses transfer across two architectures and two real targets, a size-matched filtering gain on the Herath target, and direct validation against human labels (Cohen's kappa 0.56 on two annotated corpora),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 Table 1 positions the present study against these prior educational-feedback resources.</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mfFj5p/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5943600" cy="4272623"/>
            <wp:effectExtent b="0" l="0" r="0" t="0"/>
            <wp:docPr descr="Aspect sentiment heatmap" title="" id="28" name="Picture"/>
            <a:graphic>
              <a:graphicData uri="http://schemas.openxmlformats.org/drawingml/2006/picture">
                <pic:pic>
                  <pic:nvPicPr>
                    <pic:cNvPr descr="C:/Users/apart/AppData/Local/Temp/html2doc_svg_mfFj5p/svg_1.png" id="29" name="Picture"/>
                    <pic:cNvPicPr>
                      <a:picLocks noChangeArrowheads="1" noChangeAspect="1"/>
                    </pic:cNvPicPr>
                  </pic:nvPicPr>
                  <pic:blipFill>
                    <a:blip r:embed="rId27"/>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31" name="Picture"/>
            <a:graphic>
              <a:graphicData uri="http://schemas.openxmlformats.org/drawingml/2006/picture">
                <pic:pic>
                  <pic:nvPicPr>
                    <pic:cNvPr descr="C:/Users/apart/AppData/Local/Temp/html2doc_svg_mfFj5p/svg_2.png" id="32" name="Picture"/>
                    <pic:cNvPicPr>
                      <a:picLocks noChangeArrowheads="1" noChangeAspect="1"/>
                    </pic:cNvPicPr>
                  </pic:nvPicPr>
                  <pic:blipFill>
                    <a:blip r:embed="rId30"/>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33"/>
    <w:bookmarkStart w:id="34" w:name="scope-of-reported-analyses"/>
    <w:p>
      <w:pPr>
        <w:pStyle w:val="Heading3"/>
        <w:keepNext/>
        <w:keepLines/>
        <w:widowControl w:val="1"/>
      </w:pPr>
      <w:r>
        <w:t xml:space="preserve">5.2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36" name="Picture"/>
            <a:graphic>
              <a:graphicData uri="http://schemas.openxmlformats.org/drawingml/2006/picture">
                <pic:pic>
                  <pic:nvPicPr>
                    <pic:cNvPr descr="C:/Users/apart/AppData/Local/Temp/html2doc_svg_mfFj5p/svg_3.png" id="37" name="Picture"/>
                    <pic:cNvPicPr>
                      <a:picLocks noChangeArrowheads="1" noChangeAspect="1"/>
                    </pic:cNvPicPr>
                  </pic:nvPicPr>
                  <pic:blipFill>
                    <a:blip r:embed="rId35"/>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Because</w:t>
      </w:r>
      <w:r>
        <w:t xml:space="preserve"> </w:t>
      </w:r>
      <w:r>
        <w:rPr>
          <w:rStyle w:val="VerbatimChar"/>
        </w:rPr>
        <w:t xml:space="preserve">gpt-5.2</w:t>
      </w:r>
      <w:r>
        <w:t xml:space="preserve"> </w:t>
      </w:r>
      <w:r>
        <w:t xml:space="preserve">also serves as the strict faithfulness auditor (Section 5.8) and shares a provider family with the</w:t>
      </w:r>
      <w:r>
        <w:t xml:space="preserve"> </w:t>
      </w:r>
      <w:r>
        <w:rPr>
          <w:rStyle w:val="VerbatimChar"/>
        </w:rPr>
        <w:t xml:space="preserve">gpt-5-nano</w:t>
      </w:r>
      <w:r>
        <w:t xml:space="preserve"> </w:t>
      </w:r>
      <w:r>
        <w:t xml:space="preserve">generator, these are reported as same-family reference baselines rather than independent external systems.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 Figure 5 plots the per-aspect detection and sentiment profile, and Table 9 lists the strongest and weakest aspect categories.</w:t>
      </w:r>
    </w:p>
    <w:p>
      <w:pPr>
        <w:pStyle w:val="BodyText"/>
        <w:jc w:val="center"/>
        <w:keepNext/>
        <w:keepLines/>
        <w:widowControl w:val="1"/>
      </w:pPr>
      <w:r>
        <w:drawing>
          <wp:inline>
            <wp:extent cx="5943600" cy="4255881"/>
            <wp:effectExtent b="0" l="0" r="0" t="0"/>
            <wp:docPr descr="Best-model per-aspect benchmark" title="" id="41" name="Picture"/>
            <a:graphic>
              <a:graphicData uri="http://schemas.openxmlformats.org/drawingml/2006/picture">
                <pic:pic>
                  <pic:nvPicPr>
                    <pic:cNvPr descr="C:/Users/apart/AppData/Local/Temp/html2doc_svg_mfFj5p/svg_4.png" id="42" name="Picture"/>
                    <pic:cNvPicPr>
                      <a:picLocks noChangeArrowheads="1" noChangeAspect="1"/>
                    </pic:cNvPicPr>
                  </pic:nvPicPr>
                  <pic:blipFill>
                    <a:blip r:embed="rId40"/>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and Figure 7 make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45" name="Picture"/>
            <a:graphic>
              <a:graphicData uri="http://schemas.openxmlformats.org/drawingml/2006/picture">
                <pic:pic>
                  <pic:nvPicPr>
                    <pic:cNvPr descr="C:/Users/apart/AppData/Local/Temp/html2doc_svg_mfFj5p/svg_5.png" id="46" name="Picture"/>
                    <pic:cNvPicPr>
                      <a:picLocks noChangeArrowheads="1" noChangeAspect="1"/>
                    </pic:cNvPicPr>
                  </pic:nvPicPr>
                  <pic:blipFill>
                    <a:blip r:embed="rId44"/>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48" name="Picture"/>
            <a:graphic>
              <a:graphicData uri="http://schemas.openxmlformats.org/drawingml/2006/picture">
                <pic:pic>
                  <pic:nvPicPr>
                    <pic:cNvPr descr="C:/Users/apart/AppData/Local/Temp/html2doc_svg_mfFj5p/svg_6.png" id="49" name="Picture"/>
                    <pic:cNvPicPr>
                      <a:picLocks noChangeArrowheads="1" noChangeAspect="1"/>
                    </pic:cNvPicPr>
                  </pic:nvPicPr>
                  <pic:blipFill>
                    <a:blip r:embed="rId47"/>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TableCaption"/>
        <w:spacing w:before="28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 Table 13 reports the resulting aspect-support and sentiment-match rates.</w:t>
      </w:r>
    </w:p>
    <w:p>
      <w:pPr>
        <w:pStyle w:val="TableCaption"/>
        <w:spacing w:before="28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 This per-row score averages 0.58, higher than the 0.42 aspect-sentiment-match rate reported in Section 5.8 because it is a per-row mean under the more lenient cost-matched</w:t>
      </w:r>
      <w:r>
        <w:t xml:space="preserve"> </w:t>
      </w:r>
      <w:r>
        <w:rPr>
          <w:rStyle w:val="VerbatimChar"/>
        </w:rPr>
        <w:t xml:space="preserve">gpt-4.1-mini</w:t>
      </w:r>
      <w:r>
        <w:t xml:space="preserve"> </w:t>
      </w:r>
      <w:r>
        <w:t xml:space="preserve">judge rather than a per-aspect rate under the stricter</w:t>
      </w:r>
      <w:r>
        <w:t xml:space="preserve"> </w:t>
      </w:r>
      <w:r>
        <w:rPr>
          <w:rStyle w:val="VerbatimChar"/>
        </w:rPr>
        <w:t xml:space="preserve">gpt-5.2</w:t>
      </w:r>
      <w:r>
        <w:t xml:space="preserve"> </w:t>
      </w:r>
      <w:r>
        <w:t xml:space="preserve">auditor; the two judges agree on 79% of per-aspect sentiment decisions.</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 The size-matched filtering gain is specific to sentiment-polarity fidelity, the metric most sensitive to label faithfulness; on detection (macro balanced accuracy, Table 14) the audit score's effect is concentrated at the unfaithful end, where the</w:t>
      </w:r>
      <w:r>
        <w:t xml:space="preserve"> </w:t>
      </w:r>
      <w:r>
        <w:rPr>
          <w:rStyle w:val="VerbatimChar"/>
        </w:rPr>
        <w:t xml:space="preserve">bot25</w:t>
      </w:r>
      <w:r>
        <w:t xml:space="preserve"> </w:t>
      </w:r>
      <w:r>
        <w:t xml:space="preserve">bucket alone drops to 0.522.</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mfFj5p/svg_7.png" id="55" name="Picture"/>
                    <pic:cNvPicPr>
                      <a:picLocks noChangeArrowheads="1" noChangeAspect="1"/>
                    </pic:cNvPicPr>
                  </pic:nvPicPr>
                  <pic:blipFill>
                    <a:blip r:embed="rId53"/>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Table 15 collects these paired contrasts across both architectures and both transfer targets, and Figure 8 visualizes all conditions. 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5.8 audit scores all three. The right comparison is per aspect, because the filter audits each declared aspect independently. Across 2,482 aspect-label decisions the audit reproduces the human judgment at Cohen's kappa 0.56 (moderate agreement on the Landis-Koch scale;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analysis is conducted with LLM judges and improves prompt quality without establishing statistical indistinguishability from real reviews; the label-faithfulness audit is validated three ways (a behavioral negative control, cross-provider judge agreement, and direct agreement with human labels at Cohen's kappa 0.56 on two annotated corpora, Section 5.9), and human re-annotation across the full 20-aspect schema remains the natural extension.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 Table A3 shows the generation instruction at each cycle.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9" name="Picture"/>
            <a:graphic>
              <a:graphicData uri="http://schemas.openxmlformats.org/drawingml/2006/picture">
                <pic:pic>
                  <pic:nvPicPr>
                    <pic:cNvPr descr="C:/Users/apart/AppData/Local/Temp/html2doc_svg_mfFj5p/svg_8.png" id="70" name="Picture"/>
                    <pic:cNvPicPr>
                      <a:picLocks noChangeArrowheads="1" noChangeAspect="1"/>
                    </pic:cNvPicPr>
                  </pic:nvPicPr>
                  <pic:blipFill>
                    <a:blip r:embed="rId68"/>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74" name="Picture"/>
            <a:graphic>
              <a:graphicData uri="http://schemas.openxmlformats.org/drawingml/2006/picture">
                <pic:pic>
                  <pic:nvPicPr>
                    <pic:cNvPr descr="C:/Users/apart/AppData/Local/Temp/html2doc_svg_mfFj5p/svg_9.png" id="75" name="Picture"/>
                    <pic:cNvPicPr>
                      <a:picLocks noChangeArrowheads="1" noChangeAspect="1"/>
                    </pic:cNvPicPr>
                  </pic:nvPicPr>
                  <pic:blipFill>
                    <a:blip r:embed="rId73"/>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79" name="Picture"/>
            <a:graphic>
              <a:graphicData uri="http://schemas.openxmlformats.org/drawingml/2006/picture">
                <pic:pic>
                  <pic:nvPicPr>
                    <pic:cNvPr descr="C:/Users/apart/AppData/Local/Temp/html2doc_svg_mfFj5p/svg_10.png" id="80" name="Picture"/>
                    <pic:cNvPicPr>
                      <a:picLocks noChangeArrowheads="1" noChangeAspect="1"/>
                    </pic:cNvPicPr>
                  </pic:nvPicPr>
                  <pic:blipFill>
                    <a:blip r:embed="rId78"/>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82" name="Picture"/>
            <a:graphic>
              <a:graphicData uri="http://schemas.openxmlformats.org/drawingml/2006/picture">
                <pic:pic>
                  <pic:nvPicPr>
                    <pic:cNvPr descr="C:/Users/apart/AppData/Local/Temp/html2doc_svg_mfFj5p/svg_11.png" id="83" name="Picture"/>
                    <pic:cNvPicPr>
                      <a:picLocks noChangeArrowheads="1" noChangeAspect="1"/>
                    </pic:cNvPicPr>
                  </pic:nvPicPr>
                  <pic:blipFill>
                    <a:blip r:embed="rId81"/>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87" name="Picture"/>
            <a:graphic>
              <a:graphicData uri="http://schemas.openxmlformats.org/drawingml/2006/picture">
                <pic:pic>
                  <pic:nvPicPr>
                    <pic:cNvPr descr="C:/Users/apart/AppData/Local/Temp/html2doc_svg_mfFj5p/svg_12.png" id="88" name="Picture"/>
                    <pic:cNvPicPr>
                      <a:picLocks noChangeArrowheads="1" noChangeAspect="1"/>
                    </pic:cNvPicPr>
                  </pic:nvPicPr>
                  <pic:blipFill>
                    <a:blip r:embed="rId86"/>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 Figure A5 plots the per-cycle accuracy, confusion, and entropy, and Table A12 summarizes the three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32"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25">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26">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27">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28">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29">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30">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31">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bookmarkEnd w:id="13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29" Type="http://schemas.openxmlformats.org/officeDocument/2006/relationships/hyperlink" Target="https://arxiv.org/abs/2411.15594" TargetMode="External"/><Relationship Id="rId130" Type="http://schemas.openxmlformats.org/officeDocument/2006/relationships/hyperlink" Target="https://arxiv.org/abs/2505.19675" TargetMode="External"/><Relationship Id="rId105" Type="http://schemas.openxmlformats.org/officeDocument/2006/relationships/hyperlink" Target="https://arxiv.org/abs/2508.17008" TargetMode="External"/><Relationship Id="rId131" Type="http://schemas.openxmlformats.org/officeDocument/2006/relationships/hyperlink" Target="https://doi.org/10.1007/s44443-025-00018-1" TargetMode="External"/><Relationship Id="rId118" Type="http://schemas.openxmlformats.org/officeDocument/2006/relationships/hyperlink" Target="https://doi.org/10.1016/j.compedu.2020.103965" TargetMode="External"/><Relationship Id="rId126" Type="http://schemas.openxmlformats.org/officeDocument/2006/relationships/hyperlink" Target="https://doi.org/10.1016/j.eswa.2024.125514"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28" Type="http://schemas.openxmlformats.org/officeDocument/2006/relationships/hyperlink" Target="https://doi.org/10.1073/pnas.2305016120"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27" Type="http://schemas.openxmlformats.org/officeDocument/2006/relationships/hyperlink" Target="https://doi.org/10.18653/v1/2024.findings-acl.658" TargetMode="External"/><Relationship Id="rId125" Type="http://schemas.openxmlformats.org/officeDocument/2006/relationships/hyperlink" Target="https://doi.org/10.18653/v1/2025.acl-long.752"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29" Type="http://schemas.openxmlformats.org/officeDocument/2006/relationships/hyperlink" Target="https://arxiv.org/abs/2411.15594" TargetMode="External"/><Relationship Id="rId130" Type="http://schemas.openxmlformats.org/officeDocument/2006/relationships/hyperlink" Target="https://arxiv.org/abs/2505.19675" TargetMode="External"/><Relationship Id="rId105" Type="http://schemas.openxmlformats.org/officeDocument/2006/relationships/hyperlink" Target="https://arxiv.org/abs/2508.17008" TargetMode="External"/><Relationship Id="rId131" Type="http://schemas.openxmlformats.org/officeDocument/2006/relationships/hyperlink" Target="https://doi.org/10.1007/s44443-025-00018-1" TargetMode="External"/><Relationship Id="rId118" Type="http://schemas.openxmlformats.org/officeDocument/2006/relationships/hyperlink" Target="https://doi.org/10.1016/j.compedu.2020.103965" TargetMode="External"/><Relationship Id="rId126" Type="http://schemas.openxmlformats.org/officeDocument/2006/relationships/hyperlink" Target="https://doi.org/10.1016/j.eswa.2024.125514"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28" Type="http://schemas.openxmlformats.org/officeDocument/2006/relationships/hyperlink" Target="https://doi.org/10.1073/pnas.2305016120"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27" Type="http://schemas.openxmlformats.org/officeDocument/2006/relationships/hyperlink" Target="https://doi.org/10.18653/v1/2024.findings-acl.658" TargetMode="External"/><Relationship Id="rId125" Type="http://schemas.openxmlformats.org/officeDocument/2006/relationships/hyperlink" Target="https://doi.org/10.18653/v1/2025.acl-long.752"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2026-06-13T11:18:24Z</dcterms:created>
  <dcterms:modified xsi:type="dcterms:W3CDTF">2026-06-13T11:18:24Z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