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the faithfulness score is then shown to act as an actionable training-data filter, where retaining the top 50% of the corpus by audit score reduces Herath sentiment-polarity error at half the training cost. The study therefore contributes a synthetic educational ABSA corpus, a documented generation procedure, a reproducible benchmark setting for a domain in which public labeled data remain difficult to obtain, and a faithfulness-aware filtering result that turns the audit signal into a practical recipe.</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Section 5 reports generator-oriented validation analyses, and Section 6 presents the main benchmark and external-validation results before Section 7 discusses limitations and implications.</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6"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2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C:/Users/apart/AppData/Local/Temp/html2doc_svg_JaEglr/svg_0.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Supervision targets and contextual attributes are sampled separately, merged through a stabilized prompt, and exported as review-level benchmark records.</w:t>
      </w:r>
    </w:p>
    <w:bookmarkEnd w:id="17"/>
    <w:bookmarkStart w:id="21"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Figure 3 summarizes the evaluation side of the study. Every reported approach begins from the same review-level corpus and the same 8,000/1,000/1,000 split, so differences in outcome come from the modeling approach rather than from incompatible data conditions. The diagram therefore emphasizes a single shared evaluation contract rather than separate model-specific pipelines: one corpus, one split, one validation stage, and one held-out reporting stage. The side annotations mark the two most important boundaries around that core flow, namely that validation is reserved for calibration and model choice, while mapped real-data transfer and generator-validation analyses are treated as complementary checks rather than replacements for the main synthetic benchmark.</w:t>
      </w:r>
    </w:p>
    <w:p>
      <w:pPr>
        <w:pStyle w:val="BodyText"/>
        <w:jc w:val="center"/>
        <w:keepNext/>
        <w:keepLines/>
        <w:widowControl w:val="1"/>
      </w:pPr>
      <w:r>
        <w:drawing>
          <wp:inline>
            <wp:extent cx="5943600" cy="3194685"/>
            <wp:effectExtent b="0" l="0" r="0" t="0"/>
            <wp:docPr descr="ABSA analysis pipeline" title="" id="19" name="Picture"/>
            <a:graphic>
              <a:graphicData uri="http://schemas.openxmlformats.org/drawingml/2006/picture">
                <pic:pic>
                  <pic:nvPicPr>
                    <pic:cNvPr descr="C:/Users/apart/AppData/Local/Temp/html2doc_svg_JaEglr/svg_1.png" id="20" name="Picture"/>
                    <pic:cNvPicPr>
                      <a:picLocks noChangeArrowheads="1" noChangeAspect="1"/>
                    </pic:cNvPicPr>
                  </pic:nvPicPr>
                  <pic:blipFill>
                    <a:blip r:embed="rId18"/>
                    <a:stretch>
                      <a:fillRect/>
                    </a:stretch>
                  </pic:blipFill>
                  <pic:spPr bwMode="auto">
                    <a:xfrm>
                      <a:off x="0" y="0"/>
                      <a:ext cx="5943600" cy="31946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All reported methods share one corpus, one split policy, one validation stage, and one held-out test report.</w:t>
      </w:r>
    </w:p>
    <w:bookmarkEnd w:id="21"/>
    <w:bookmarkStart w:id="22"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22"/>
    <w:bookmarkStart w:id="23"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3"/>
    <w:bookmarkStart w:id="24"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4"/>
    <w:bookmarkStart w:id="25"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5"/>
    <w:bookmarkEnd w:id="26"/>
    <w:bookmarkStart w:id="29" w:name="benchmark-task-and-evaluation-setup"/>
    <w:p>
      <w:pPr>
        <w:pStyle w:val="Heading2"/>
        <w:keepNext/>
        <w:keepLines/>
        <w:widowControl w:val="1"/>
      </w:pPr>
      <w:r>
        <w:t xml:space="preserve">4. Benchmark Task and Evaluation Setup</w:t>
      </w:r>
    </w:p>
    <w:bookmarkStart w:id="27"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7"/>
    <w:bookmarkStart w:id="28"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5.</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8"/>
    <w:bookmarkEnd w:id="29"/>
    <w:bookmarkStart w:id="35" w:name="generator-validation-analyses"/>
    <w:p>
      <w:pPr>
        <w:pStyle w:val="Heading2"/>
        <w:keepNext/>
        <w:keepLines/>
        <w:widowControl w:val="1"/>
      </w:pPr>
      <w:r>
        <w:t xml:space="preserve">5. Generator Validation Analyses</w:t>
      </w:r>
    </w:p>
    <w:bookmarkStart w:id="33" w:name="realism-validation-protocol"/>
    <w:p>
      <w:pPr>
        <w:pStyle w:val="Heading3"/>
        <w:keepNext/>
        <w:keepLines/>
        <w:widowControl w:val="1"/>
      </w:pPr>
      <w:r>
        <w:t xml:space="preserve">5.1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31" name="Picture"/>
            <a:graphic>
              <a:graphicData uri="http://schemas.openxmlformats.org/drawingml/2006/picture">
                <pic:pic>
                  <pic:nvPicPr>
                    <pic:cNvPr descr="C:/Users/apart/AppData/Local/Temp/html2doc_svg_JaEglr/svg_2.png" id="32" name="Picture"/>
                    <pic:cNvPicPr>
                      <a:picLocks noChangeArrowheads="1" noChangeAspect="1"/>
                    </pic:cNvPicPr>
                  </pic:nvPicPr>
                  <pic:blipFill>
                    <a:blip r:embed="rId30"/>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33"/>
    <w:bookmarkStart w:id="34" w:name="complementary-generator-diagnostics"/>
    <w:p>
      <w:pPr>
        <w:pStyle w:val="Heading3"/>
        <w:keepNext/>
        <w:keepLines/>
        <w:widowControl w:val="1"/>
      </w:pPr>
      <w:r>
        <w:t xml:space="preserve">5.2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later in Section 6.7B: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34"/>
    <w:bookmarkEnd w:id="35"/>
    <w:bookmarkStart w:id="72" w:name="results"/>
    <w:p>
      <w:pPr>
        <w:pStyle w:val="Heading2"/>
        <w:keepNext/>
        <w:keepLines/>
        <w:widowControl w:val="1"/>
      </w:pPr>
      <w:r>
        <w:t xml:space="preserve">6.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such as output-control drift, label faithfulness, and realism validation. This ordering is intentional: the central claim concerns the value of the synthetic corpus as an educational ABSA benchmark resource, whereas realism and faithfulness analyses explain the strengths and limits of the generation process.</w:t>
      </w:r>
    </w:p>
    <w:p>
      <w:pPr>
        <w:pStyle w:val="BodyText"/>
        <w:jc w:val="center"/>
        <w:keepNext/>
        <w:keepLines/>
        <w:widowControl w:val="1"/>
      </w:pPr>
      <w:r>
        <w:drawing>
          <wp:inline>
            <wp:extent cx="5943600" cy="4272623"/>
            <wp:effectExtent b="0" l="0" r="0" t="0"/>
            <wp:docPr descr="Aspect sentiment heatmap" title="" id="37" name="Picture"/>
            <a:graphic>
              <a:graphicData uri="http://schemas.openxmlformats.org/drawingml/2006/picture">
                <pic:pic>
                  <pic:nvPicPr>
                    <pic:cNvPr descr="C:/Users/apart/AppData/Local/Temp/html2doc_svg_JaEglr/svg_3.png" id="38" name="Picture"/>
                    <pic:cNvPicPr>
                      <a:picLocks noChangeArrowheads="1" noChangeAspect="1"/>
                    </pic:cNvPicPr>
                  </pic:nvPicPr>
                  <pic:blipFill>
                    <a:blip r:embed="rId36"/>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40" name="Picture"/>
            <a:graphic>
              <a:graphicData uri="http://schemas.openxmlformats.org/drawingml/2006/picture">
                <pic:pic>
                  <pic:nvPicPr>
                    <pic:cNvPr descr="C:/Users/apart/AppData/Local/Temp/html2doc_svg_JaEglr/svg_4.png" id="41" name="Picture"/>
                    <pic:cNvPicPr>
                      <a:picLocks noChangeArrowheads="1" noChangeAspect="1"/>
                    </pic:cNvPicPr>
                  </pic:nvPicPr>
                  <pic:blipFill>
                    <a:blip r:embed="rId39"/>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Start w:id="42" w:name="X5eb33c01c0cf011bf7399e1ac1b2f733297275e"/>
    <w:p>
      <w:pPr>
        <w:pStyle w:val="Heading3"/>
        <w:keepNext/>
        <w:keepLines/>
        <w:widowControl w:val="1"/>
      </w:pPr>
      <w:r>
        <w:t xml:space="preserve">6.1 Corpus Profile and Representative Examples</w:t>
      </w:r>
    </w:p>
    <w:p>
      <w:pPr>
        <w:pStyle w:val="FirstParagraph"/>
        <w:jc w:val="both"/>
        <w:keepNext w:val="0"/>
        <w:keepLines w:val="0"/>
        <w:widowControl w:val="1"/>
      </w:pPr>
      <w:r>
        <w:t xml:space="preserve">Figure 4 and Figure 5 establish the corpus-level structure before any model results are introduced. Figure 4 shows how label support is distributed across aspects and sentiment polarities, which makes it easier to distinguish heavily represented pedagogical dimensions from thinner parts of the schema. Figure 5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42"/>
    <w:bookmarkStart w:id="43" w:name="scope-of-reported-analyses"/>
    <w:p>
      <w:pPr>
        <w:pStyle w:val="Heading3"/>
        <w:keepNext/>
        <w:keepLines/>
        <w:widowControl w:val="1"/>
      </w:pPr>
      <w:r>
        <w:t xml:space="preserve">6.2 Scope of Reported Analyses</w:t>
      </w:r>
    </w:p>
    <w:p>
      <w:pPr>
        <w:pStyle w:val="TableCaption"/>
        <w:spacing w:before="28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pStyle w:val="BodyText"/>
        <w:spacing w:before="24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43"/>
    <w:bookmarkStart w:id="47" w:name="Xb756ca2b27320c8b9bc4788dcc281a891af5b5f"/>
    <w:p>
      <w:pPr>
        <w:pStyle w:val="Heading3"/>
        <w:keepNext/>
        <w:keepLines/>
        <w:widowControl w:val="1"/>
      </w:pPr>
      <w:r>
        <w:t xml:space="preserve">6.3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drift toward recall-heavy detectors whose false positives then inflate downstream sentiment error. In this sense, Table 7 shows that the benchmark rewards models that recover many aspect mentions without collapsing into broad positive prediction.</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6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45" name="Picture"/>
            <a:graphic>
              <a:graphicData uri="http://schemas.openxmlformats.org/drawingml/2006/picture">
                <pic:pic>
                  <pic:nvPicPr>
                    <pic:cNvPr descr="C:/Users/apart/AppData/Local/Temp/html2doc_svg_JaEglr/svg_5.png" id="46" name="Picture"/>
                    <pic:cNvPicPr>
                      <a:picLocks noChangeArrowheads="1" noChangeAspect="1"/>
                    </pic:cNvPicPr>
                  </pic:nvPicPr>
                  <pic:blipFill>
                    <a:blip r:embed="rId44"/>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47"/>
    <w:bookmarkStart w:id="48" w:name="gpt-based-inference-methods"/>
    <w:p>
      <w:pPr>
        <w:pStyle w:val="Heading3"/>
        <w:keepNext/>
        <w:keepLines/>
        <w:widowControl w:val="1"/>
      </w:pPr>
      <w:r>
        <w:t xml:space="preserve">6.4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BodyText"/>
        <w:jc w:val="both"/>
        <w:keepNext w:val="0"/>
        <w:keepLines w:val="0"/>
        <w:widowControl w:val="1"/>
      </w:pPr>
      <w:r>
        <w:t xml:space="preserve">Table 7A. 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A.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48"/>
    <w:bookmarkStart w:id="52" w:name="per-aspect-behavior-of-the-best-model"/>
    <w:p>
      <w:pPr>
        <w:pStyle w:val="Heading3"/>
        <w:keepNext/>
        <w:keepLines/>
        <w:widowControl w:val="1"/>
      </w:pPr>
      <w:r>
        <w:t xml:space="preserve">6.5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5943600" cy="4255881"/>
            <wp:effectExtent b="0" l="0" r="0" t="0"/>
            <wp:docPr descr="Best-model per-aspect benchmark" title="" id="50" name="Picture"/>
            <a:graphic>
              <a:graphicData uri="http://schemas.openxmlformats.org/drawingml/2006/picture">
                <pic:pic>
                  <pic:nvPicPr>
                    <pic:cNvPr descr="C:/Users/apart/AppData/Local/Temp/html2doc_svg_JaEglr/svg_6.png" id="51" name="Picture"/>
                    <pic:cNvPicPr>
                      <a:picLocks noChangeArrowheads="1" noChangeAspect="1"/>
                    </pic:cNvPicPr>
                  </pic:nvPicPr>
                  <pic:blipFill>
                    <a:blip r:embed="rId49"/>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8.</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8.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52"/>
    <w:bookmarkStart w:id="59" w:name="X0ce3c8ca12618df96c03a79330ef5a35c7801ef"/>
    <w:p>
      <w:pPr>
        <w:pStyle w:val="Heading3"/>
        <w:keepNext/>
        <w:keepLines/>
        <w:widowControl w:val="1"/>
      </w:pPr>
      <w:r>
        <w:t xml:space="preserve">6.6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8B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Table 8A. Exact synthetic-to-real transfer scores on the mapped Herath benchmark over the conservative nine-aspect overlap. The table gives the precise model values, while Figure 8 adds the overlap-support context needed to interpret them.</w:t>
      </w:r>
    </w:p>
    <w:tbl>
      <w:tblPr>
        <w:tblStyle w:val="Table"/>
        <w:tblW w:type="pct" w:w="5000"/>
        <w:jc w:val="center"/>
        <w:tblLook w:firstRow="1" w:lastRow="0" w:firstColumn="0" w:lastColumn="0" w:noHBand="0" w:noVBand="0" w:val="0020"/>
        <w:tblCaption w:val="Table 8A. Exact synthetic-to-real transfer scores on the mapped Herath benchmark over the conservative nine-aspect overlap. The table gives the precise model values, while Figure 8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54" name="Picture"/>
            <a:graphic>
              <a:graphicData uri="http://schemas.openxmlformats.org/drawingml/2006/picture">
                <pic:pic>
                  <pic:nvPicPr>
                    <pic:cNvPr descr="C:/Users/apart/AppData/Local/Temp/html2doc_svg_JaEglr/svg_7.png" id="55" name="Picture"/>
                    <pic:cNvPicPr>
                      <a:picLocks noChangeArrowheads="1" noChangeAspect="1"/>
                    </pic:cNvPicPr>
                  </pic:nvPicPr>
                  <pic:blipFill>
                    <a:blip r:embed="rId53"/>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8A.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57" name="Picture"/>
            <a:graphic>
              <a:graphicData uri="http://schemas.openxmlformats.org/drawingml/2006/picture">
                <pic:pic>
                  <pic:nvPicPr>
                    <pic:cNvPr descr="C:/Users/apart/AppData/Local/Temp/html2doc_svg_JaEglr/svg_8.png" id="58" name="Picture"/>
                    <pic:cNvPicPr>
                      <a:picLocks noChangeArrowheads="1" noChangeAspect="1"/>
                    </pic:cNvPicPr>
                  </pic:nvPicPr>
                  <pic:blipFill>
                    <a:blip r:embed="rId56"/>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9.</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BodyText"/>
        <w:jc w:val="both"/>
        <w:keepNext w:val="0"/>
        <w:keepLines w:val="0"/>
        <w:widowControl w:val="1"/>
      </w:pPr>
      <w:r>
        <w:t xml:space="preserve">Table 8B. 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8B.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
      <w:pPr>
        <w:pStyle w:val="BodyText"/>
        <w:jc w:val="both"/>
        <w:keepNext w:val="0"/>
        <w:keepLines w:val="0"/>
        <w:widowControl w:val="1"/>
      </w:pPr>
      <w:r>
        <w:t xml:space="preserve">Table 8C. 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8C.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8C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9"/>
    <w:bookmarkStart w:id="60" w:name="corpus-scale-generation-diagnostics"/>
    <w:p>
      <w:pPr>
        <w:pStyle w:val="Heading3"/>
        <w:keepNext/>
        <w:keepLines/>
        <w:widowControl w:val="1"/>
      </w:pPr>
      <w:r>
        <w:t xml:space="preserve">6.7 Corpus-Scale Generation Diagnostics</w:t>
      </w:r>
    </w:p>
    <w:p>
      <w:pPr>
        <w:pStyle w:val="FirstParagraph"/>
        <w:jc w:val="both"/>
        <w:keepNext w:val="0"/>
        <w:keepLines w:val="0"/>
        <w:widowControl w:val="1"/>
      </w:pPr>
      <w:r>
        <w:t xml:space="preserve">The next three subsections return from downstream model behavior to generator quality. They document how the 10K corpus behaves as generated data: first in terms of output control at corpus scale, then in terms of label faithfulness, and finally in terms of the three-cycle realism procedure that shaped the final prompt specification.</w:t>
      </w:r>
    </w:p>
    <w:bookmarkEnd w:id="60"/>
    <w:bookmarkStart w:id="61" w:name="a-full-corpus-output-control"/>
    <w:p>
      <w:pPr>
        <w:pStyle w:val="Heading3"/>
        <w:keepNext/>
        <w:keepLines/>
        <w:widowControl w:val="1"/>
      </w:pPr>
      <w:r>
        <w:t xml:space="preserve">6.7A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5 makes this visible directly by combining length, aspect-count, course, and style evidence in one place.</w:t>
      </w:r>
    </w:p>
    <w:bookmarkEnd w:id="61"/>
    <w:bookmarkStart w:id="62" w:name="X6f66fbde56ec4eedb9b786603e474210b4b56cf"/>
    <w:p>
      <w:pPr>
        <w:pStyle w:val="Heading3"/>
        <w:keepNext/>
        <w:keepLines/>
        <w:widowControl w:val="1"/>
      </w:pPr>
      <w:r>
        <w:t xml:space="preserve">6.7B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BodyText"/>
        <w:jc w:val="both"/>
        <w:keepNext w:val="0"/>
        <w:keepLines w:val="0"/>
        <w:widowControl w:val="1"/>
      </w:pPr>
      <w:r>
        <w:t xml:space="preserve">Table 8D. 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8D.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62"/>
    <w:bookmarkStart w:id="66" w:name="X7a826be7400f8dc5836dcf57e17b35aaed5d939"/>
    <w:p>
      <w:pPr>
        <w:pStyle w:val="Heading3"/>
        <w:keepNext/>
        <w:keepLines/>
        <w:widowControl w:val="1"/>
      </w:pPr>
      <w:r>
        <w:t xml:space="preserve">6.7C Three-Cycle Realism-Validation Procedure</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9.</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9.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p>
      <w:pPr>
        <w:pStyle w:val="BodyText"/>
        <w:jc w:val="center"/>
        <w:keepNext/>
        <w:keepLines/>
        <w:widowControl w:val="1"/>
      </w:pPr>
      <w:r>
        <w:drawing>
          <wp:inline>
            <wp:extent cx="5943600" cy="3194685"/>
            <wp:effectExtent b="0" l="0" r="0" t="0"/>
            <wp:docPr descr="Realism validation and prompt refinement pipeline" title="" id="64" name="Picture"/>
            <a:graphic>
              <a:graphicData uri="http://schemas.openxmlformats.org/drawingml/2006/picture">
                <pic:pic>
                  <pic:nvPicPr>
                    <pic:cNvPr descr="C:/Users/apart/AppData/Local/Temp/html2doc_svg_JaEglr/svg_9.png" id="65" name="Picture"/>
                    <pic:cNvPicPr>
                      <a:picLocks noChangeArrowheads="1" noChangeAspect="1"/>
                    </pic:cNvPicPr>
                  </pic:nvPicPr>
                  <pic:blipFill>
                    <a:blip r:embed="rId63"/>
                    <a:stretch>
                      <a:fillRect/>
                    </a:stretch>
                  </pic:blipFill>
                  <pic:spPr bwMode="auto">
                    <a:xfrm>
                      <a:off x="0" y="0"/>
                      <a:ext cx="5943600" cy="31946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10.</w:t>
      </w:r>
      <w:r>
        <w:rPr>
          <w:b w:val="0"/>
          <w:i/>
        </w:rPr>
        <w:t xml:space="preserve"> </w:t>
      </w:r>
      <w:r>
        <w:rPr>
          <w:b w:val="0"/>
          <w:i/>
        </w:rPr>
        <w:t>The realism-validation loop. A judge evaluates one blended pool of real and synthetic reviews, the resulting metrics and cue evidence are summarized, and prompt revision affects the next cycle.</w:t>
      </w:r>
    </w:p>
    <w:bookmarkEnd w:id="66"/>
    <w:bookmarkStart w:id="70" w:name="Xd7172303a2a7df33ecbf786e84e1f7cb8de8754"/>
    <w:p>
      <w:pPr>
        <w:pStyle w:val="Heading3"/>
        <w:keepNext/>
        <w:keepLines/>
        <w:widowControl w:val="1"/>
      </w:pPr>
      <w:r>
        <w:t xml:space="preserve">6.7D Faithfulness-Aware Filtering of the Training Corpus</w:t>
      </w:r>
    </w:p>
    <w:p>
      <w:pPr>
        <w:pStyle w:val="FirstParagraph"/>
        <w:jc w:val="both"/>
        <w:keepNext w:val="0"/>
        <w:keepLines w:val="0"/>
        <w:widowControl w:val="1"/>
      </w:pPr>
      <w:r>
        <w:t xml:space="preserve">The 250-row audit in Section 6.7B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0.845 and per-aspect sentiment-match agreement 0.715).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on each bucket using the calibrated Section 6.3 recipe and evaluated the resulting model on the same 9-aspect mapped Herath benchmark used in Section 6.6. To separate effect from seed variance, every bucket was retrained at four random seeds (17, 23, 41, 42) on Modal A10G with results aggregated across seeds.</w:t>
      </w:r>
    </w:p>
    <w:p>
      <w:pPr>
        <w:pStyle w:val="BodyText"/>
        <w:jc w:val="both"/>
        <w:keepNext w:val="0"/>
        <w:keepLines w:val="0"/>
        <w:widowControl w:val="1"/>
      </w:pPr>
      <w:r>
        <w:t xml:space="preserve">Table 8E. Faithfulness-aware filtering of the 10K corpus, BERT-base-uncased trained on each subset and evaluated on the mapped 9-aspect Herath benchmark. Mean over four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8E. Faithfulness-aware filtering of the 10K corpus, BERT-base-uncased trained on each subset and evaluated on the mapped 9-aspect Herath benchmark. Mean over four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0.384 [0.363, 0.404]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0.563 [0.553,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0.345 [0.331, 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0.586 [0.565, 0.607]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0.369 [0.341, 0.407]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 [0.552, 0.608]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0.747 [0.641, 0.871]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0.526 [0.515, 0.537]</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0.402 [0.361, 0.447]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0.588 [0.580, 0.598]</w:t>
            </w:r>
          </w:p>
        </w:tc>
      </w:tr>
    </w:tbl>
    <w:p>
      <w:pPr>
        <w:pStyle w:val="BodyText"/>
        <w:spacing w:before="240"/>
        <w:jc w:val="both"/>
        <w:keepNext w:val="0"/>
        <w:keepLines w:val="0"/>
        <w:widowControl w:val="1"/>
      </w:pPr>
      <w:r>
        <w:t xml:space="preserve">Two findings carry the experiment, both stated as paired bucket-versus-baseline differences whose 95% bootstrap CI over the four seeds excludes zero. First, at fixed training size, filtering improves sentiment-polarity faithfulness on aspects the detector identified as present: the</w:t>
      </w:r>
      <w:r>
        <w:t xml:space="preserve"> </w:t>
      </w:r>
      <w:r>
        <w:rPr>
          <w:rStyle w:val="VerbatimChar"/>
        </w:rPr>
        <w:t xml:space="preserve">top50</w:t>
      </w:r>
      <w:r>
        <w:t xml:space="preserve"> </w:t>
      </w:r>
      <w:r>
        <w:t xml:space="preserve">subset reduces sentiment MSE by 0.057 relative to the size-matched random sample (</w:t>
      </w:r>
      <w:r>
        <w:rPr>
          <w:rStyle w:val="VerbatimChar"/>
        </w:rPr>
        <w:t xml:space="preserve">top50 − random_5k</w:t>
      </w:r>
      <w:r>
        <w:t xml:space="preserve"> </w:t>
      </w:r>
      <w:r>
        <w:t xml:space="preserve">mean</w:t>
      </w:r>
      <w:r>
        <w:t xml:space="preserve"> </w:t>
      </w:r>
      <w:r>
        <w:rPr>
          <w:rStyle w:val="VerbatimChar"/>
        </w:rPr>
        <w:t xml:space="preserve">−0.057</w:t>
      </w:r>
      <w:r>
        <w:t xml:space="preserve">, 95% bootstrap CI</w:t>
      </w:r>
      <w:r>
        <w:t xml:space="preserve"> </w:t>
      </w:r>
      <w:r>
        <w:rPr>
          <w:rStyle w:val="VerbatimChar"/>
        </w:rPr>
        <w:t xml:space="preserve">[−0.108, −0.018]</w:t>
      </w:r>
      <w:r>
        <w:t xml:space="preserve">,</w:t>
      </w:r>
      <w:r>
        <w:t xml:space="preserve"> </w:t>
      </w:r>
      <w:r>
        <w:rPr>
          <w:rStyle w:val="VerbatimChar"/>
        </w:rPr>
        <w:t xml:space="preserve">top50</w:t>
      </w:r>
      <w:r>
        <w:t xml:space="preserve"> </w:t>
      </w:r>
      <w:r>
        <w:t xml:space="preserve">wins in 4 of 4 seeds), and the absolute level (</w:t>
      </w:r>
      <w:r>
        <w:rPr>
          <w:rStyle w:val="VerbatimChar"/>
        </w:rPr>
        <w:t xml:space="preserve">0.345</w:t>
      </w:r>
      <w:r>
        <w:t xml:space="preserve">) is the lowest of any bucket, including the full corpus. Second, the negative-control</w:t>
      </w:r>
      <w:r>
        <w:t xml:space="preserve"> </w:t>
      </w:r>
      <w:r>
        <w:rPr>
          <w:rStyle w:val="VerbatimChar"/>
        </w:rPr>
        <w:t xml:space="preserve">bot25</w:t>
      </w:r>
      <w:r>
        <w:t xml:space="preserve"> </w:t>
      </w:r>
      <w:r>
        <w:t xml:space="preserve">bucket collapses on the same metric (</w:t>
      </w:r>
      <w:r>
        <w:rPr>
          <w:rStyle w:val="VerbatimChar"/>
        </w:rPr>
        <w:t xml:space="preserve">bot25 − full</w:t>
      </w:r>
      <w:r>
        <w:t xml:space="preserve"> </w:t>
      </w:r>
      <w:r>
        <w:t xml:space="preserve">mean</w:t>
      </w:r>
      <w:r>
        <w:t xml:space="preserve"> </w:t>
      </w:r>
      <w:r>
        <w:rPr>
          <w:rStyle w:val="VerbatimChar"/>
        </w:rPr>
        <w:t xml:space="preserve">+0.378</w:t>
      </w:r>
      <w:r>
        <w:t xml:space="preserve">, CI</w:t>
      </w:r>
      <w:r>
        <w:t xml:space="preserve"> </w:t>
      </w:r>
      <w:r>
        <w:rPr>
          <w:rStyle w:val="VerbatimChar"/>
        </w:rPr>
        <w:t xml:space="preserve">[+0.249, +0.525]</w:t>
      </w:r>
      <w:r>
        <w:t xml:space="preserve">) and on macro balanced accuracy (</w:t>
      </w:r>
      <w:r>
        <w:rPr>
          <w:rStyle w:val="VerbatimChar"/>
        </w:rPr>
        <w:t xml:space="preserve">−0.051</w:t>
      </w:r>
      <w:r>
        <w:t xml:space="preserve">, CI</w:t>
      </w:r>
      <w:r>
        <w:t xml:space="preserve"> </w:t>
      </w:r>
      <w:r>
        <w:rPr>
          <w:rStyle w:val="VerbatimChar"/>
        </w:rPr>
        <w:t xml:space="preserve">[−0.066, −0.038]</w:t>
      </w:r>
      <w:r>
        <w:t xml:space="preserve">), so the audit score discriminates informative training rows from uninformative ones at both ends of the distribution.</w:t>
      </w:r>
    </w:p>
    <w:p>
      <w:pPr>
        <w:pStyle w:val="BodyText"/>
        <w:jc w:val="both"/>
        <w:keepNext w:val="0"/>
        <w:keepLines w:val="0"/>
        <w:widowControl w:val="1"/>
      </w:pPr>
      <w:r>
        <w:t xml:space="preserve">Together the two metrics support the third hypothesis of the experiment: the audit signal acts on sentiment polarity, which is the dimension the audit measures, and on macro-balanced aspect detection, where the</w:t>
      </w:r>
      <w:r>
        <w:t xml:space="preserve"> </w:t>
      </w:r>
      <w:r>
        <w:rPr>
          <w:rStyle w:val="VerbatimChar"/>
        </w:rPr>
        <w:t xml:space="preserve">top50</w:t>
      </w:r>
      <w:r>
        <w:t xml:space="preserve"> </w:t>
      </w:r>
      <w:r>
        <w:t xml:space="preserve">bucket (0.586) and the size-controlled</w:t>
      </w:r>
      <w:r>
        <w:t xml:space="preserve"> </w:t>
      </w:r>
      <w:r>
        <w:rPr>
          <w:rStyle w:val="VerbatimChar"/>
        </w:rPr>
        <w:t xml:space="preserve">random_5k</w:t>
      </w:r>
      <w:r>
        <w:t xml:space="preserve"> </w:t>
      </w:r>
      <w:r>
        <w:t xml:space="preserve">baseline (0.588) both lead the full corpus (0.577) and the bottom-25% control trails clearly (0.526).</w:t>
      </w:r>
    </w:p>
    <w:p>
      <w:pPr>
        <w:pStyle w:val="BodyText"/>
        <w:jc w:val="center"/>
        <w:keepNext/>
        <w:keepLines/>
        <w:widowControl w:val="1"/>
      </w:pPr>
      <w:r>
        <w:drawing>
          <wp:inline>
            <wp:extent cx="5943600" cy="2161309"/>
            <wp:effectExtent b="0" l="0" r="0" t="0"/>
            <wp:docPr descr="Faithfulness-aware filtering improves Herath sentiment polarity at fixed training size" title="" id="68" name="Picture"/>
            <a:graphic>
              <a:graphicData uri="http://schemas.openxmlformats.org/drawingml/2006/picture">
                <pic:pic>
                  <pic:nvPicPr>
                    <pic:cNvPr descr="C:/Users/apart/AppData/Local/Temp/html2doc_svg_JaEglr/svg_10.png" id="69" name="Picture"/>
                    <pic:cNvPicPr>
                      <a:picLocks noChangeArrowheads="1" noChangeAspect="1"/>
                    </pic:cNvPicPr>
                  </pic:nvPicPr>
                  <pic:blipFill>
                    <a:blip r:embed="rId67"/>
                    <a:stretch>
                      <a:fillRect/>
                    </a:stretch>
                  </pic:blipFill>
                  <pic:spPr bwMode="auto">
                    <a:xfrm>
                      <a:off x="0" y="0"/>
                      <a:ext cx="5943600" cy="216130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11.</w:t>
      </w:r>
      <w:r>
        <w:rPr>
          <w:b w:val="0"/>
          <w:i/>
        </w:rPr>
        <w:t xml:space="preserve"> </w:t>
      </w:r>
      <w:r>
        <w:rPr>
          <w:b w:val="0"/>
          <w:i/>
        </w:rPr>
        <w:t>Faithfulness-aware filtering on the 10K synthetic corpus. (A) Sentiment MSE on aspects the detector identified as present, mean across four seeds with 95% bootstrap CI bars; lower is better. The top50 bucket achieves the lowest sentiment MSE, and the size-controlled random_5k baseline cannot match it (paired CI excludes zero, 4/4 seeds favor top50). The bot25 bucket fails dramatically, confirming the signal is informative. (B) Macro balanced accuracy on aspect detection: top50 (0.586) and random_5k (0.588) lead the full corpus (0.577) and the bot25 control trails (0.526).</w:t>
      </w:r>
    </w:p>
    <w:p>
      <w:pPr>
        <w:pStyle w:val="BodyText"/>
        <w:jc w:val="both"/>
        <w:keepNext w:val="0"/>
        <w:keepLines w:val="0"/>
        <w:widowControl w:val="1"/>
      </w:pPr>
      <w:r>
        <w:t xml:space="preserve">Practically, the result is that the audit score in Section 6.7B is not only a documentation of corpus noise but an actionable filter. Discarding the bottom 50% of the corpus by faithfulness score reduces sentiment-polarity error on the Herath transfer benchmark at half the training cost, with no loss on aspect-detection metrics. The complementary observation is that the bottom 25% is an active liability for sentiment polarity, so a downstream user should not train on the lowest-faithfulness rows.</w:t>
      </w:r>
    </w:p>
    <w:bookmarkEnd w:id="70"/>
    <w:bookmarkStart w:id="71" w:name="overall-interpretation"/>
    <w:p>
      <w:pPr>
        <w:pStyle w:val="Heading3"/>
        <w:keepNext/>
        <w:keepLines/>
        <w:widowControl w:val="1"/>
      </w:pPr>
      <w:r>
        <w:t xml:space="preserve">6.8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71"/>
    <w:bookmarkEnd w:id="72"/>
    <w:bookmarkStart w:id="76" w:name="discussion"/>
    <w:p>
      <w:pPr>
        <w:pStyle w:val="Heading2"/>
        <w:keepNext/>
        <w:keepLines/>
        <w:widowControl w:val="1"/>
      </w:pPr>
      <w:r>
        <w:t xml:space="preserve">7.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73" w:name="limitations"/>
    <w:p>
      <w:pPr>
        <w:pStyle w:val="Heading3"/>
        <w:keepNext/>
        <w:keepLines/>
        <w:widowControl w:val="1"/>
      </w:pPr>
      <w:r>
        <w:t xml:space="preserve">7.1 Limitations</w:t>
      </w:r>
    </w:p>
    <w:p>
      <w:pPr>
        <w:pStyle w:val="FirstParagraph"/>
        <w:jc w:val="both"/>
        <w:keepNext w:val="0"/>
        <w:keepLines w:val="0"/>
        <w:widowControl w:val="1"/>
      </w:pPr>
      <w:r>
        <w:t xml:space="preserve">Five limitations remain central. First, external validation is still narrow: the transfer result uses one real educational corpus and only a conservative 9-aspect overlap, so broader claims about the entire 20-aspect schema still require more real-data tests. Second, the realism-validation procedure improves prompt quality but does not establish statistical indistinguishability from real educational reviews. Third, the 10K dataset is usable but not perfectly controlled, because a nontrivial share of rows reached the output-token cap and weakened length-band adherence at scale. Fourth, downstream training on the 10K corpus benefits from the Section 6.7D top-50% faithfulness filter;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73"/>
    <w:bookmarkStart w:id="74" w:name="educational-implications"/>
    <w:p>
      <w:pPr>
        <w:pStyle w:val="Heading3"/>
        <w:keepNext/>
        <w:keepLines/>
        <w:widowControl w:val="1"/>
      </w:pPr>
      <w:r>
        <w:t xml:space="preserve">7.2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costs roughly two orders of magnitude less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6.7D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74"/>
    <w:bookmarkStart w:id="75" w:name="ethics-statement"/>
    <w:p>
      <w:pPr>
        <w:pStyle w:val="Heading3"/>
        <w:keepNext/>
        <w:keepLines/>
        <w:widowControl w:val="1"/>
      </w:pPr>
      <w:r>
        <w:t xml:space="preserve">7.3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75"/>
    <w:bookmarkEnd w:id="76"/>
    <w:bookmarkStart w:id="77" w:name="conclusion"/>
    <w:p>
      <w:pPr>
        <w:pStyle w:val="Heading2"/>
        <w:keepNext/>
        <w:keepLines/>
        <w:widowControl w:val="1"/>
      </w:pPr>
      <w:r>
        <w:t xml:space="preserve">8.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bookmarkEnd w:id="77"/>
    <w:bookmarkStart w:id="100" w:name="appendix"/>
    <w:p>
      <w:pPr>
        <w:pStyle w:val="Heading2"/>
        <w:keepNext/>
        <w:keepLines/>
        <w:widowControl w:val="1"/>
      </w:pPr>
      <w:r>
        <w:t xml:space="preserve">Appendix</w:t>
      </w:r>
    </w:p>
    <w:bookmarkStart w:id="78"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78"/>
    <w:bookmarkStart w:id="79"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79"/>
    <w:bookmarkStart w:id="80"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80"/>
    <w:bookmarkStart w:id="81"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8.</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81"/>
    <w:bookmarkStart w:id="85"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83" name="Picture"/>
            <a:graphic>
              <a:graphicData uri="http://schemas.openxmlformats.org/drawingml/2006/picture">
                <pic:pic>
                  <pic:nvPicPr>
                    <pic:cNvPr descr="C:/Users/apart/AppData/Local/Temp/html2doc_svg_JaEglr/svg_11.png" id="84" name="Picture"/>
                    <pic:cNvPicPr>
                      <a:picLocks noChangeArrowheads="1" noChangeAspect="1"/>
                    </pic:cNvPicPr>
                  </pic:nvPicPr>
                  <pic:blipFill>
                    <a:blip r:embed="rId82"/>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85"/>
    <w:bookmarkStart w:id="86"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7A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7A.</w:t>
      </w:r>
    </w:p>
    <w:tbl>
      <w:tblPr>
        <w:tblStyle w:val="Table"/>
        <w:tblW w:type="pct" w:w="5000"/>
        <w:jc w:val="center"/>
        <w:tblLook w:firstRow="1" w:lastRow="0" w:firstColumn="0" w:lastColumn="0" w:noHBand="0" w:noVBand="0" w:val="0020"/>
        <w:tblCaption w:val="Table A5. Configuration details for the GPT-based inference methods reported in Table 7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86"/>
    <w:bookmarkStart w:id="90"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850017"/>
            <wp:effectExtent b="0" l="0" r="0" t="0"/>
            <wp:docPr descr="Aspect count distribution in the pilot validation subset" title="" id="88" name="Picture"/>
            <a:graphic>
              <a:graphicData uri="http://schemas.openxmlformats.org/drawingml/2006/picture">
                <pic:pic>
                  <pic:nvPicPr>
                    <pic:cNvPr descr="C:/Users/apart/AppData/Local/Temp/html2doc_svg_JaEglr/svg_12.png" id="89" name="Picture"/>
                    <pic:cNvPicPr>
                      <a:picLocks noChangeArrowheads="1" noChangeAspect="1"/>
                    </pic:cNvPicPr>
                  </pic:nvPicPr>
                  <pic:blipFill>
                    <a:blip r:embed="rId87"/>
                    <a:stretch>
                      <a:fillRect/>
                    </a:stretch>
                  </pic:blipFill>
                  <pic:spPr bwMode="auto">
                    <a:xfrm>
                      <a:off x="0" y="0"/>
                      <a:ext cx="5943600" cy="38500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90"/>
    <w:bookmarkStart w:id="91"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91"/>
    <w:bookmarkStart w:id="98"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6.3.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139327"/>
            <wp:effectExtent b="0" l="0" r="0" t="0"/>
            <wp:docPr descr="Seed stability across the strongest local models" title="" id="93" name="Picture"/>
            <a:graphic>
              <a:graphicData uri="http://schemas.openxmlformats.org/drawingml/2006/picture">
                <pic:pic>
                  <pic:nvPicPr>
                    <pic:cNvPr descr="C:/Users/apart/AppData/Local/Temp/html2doc_svg_JaEglr/svg_13.png" id="94" name="Picture"/>
                    <pic:cNvPicPr>
                      <a:picLocks noChangeArrowheads="1" noChangeAspect="1"/>
                    </pic:cNvPicPr>
                  </pic:nvPicPr>
                  <pic:blipFill>
                    <a:blip r:embed="rId92"/>
                    <a:stretch>
                      <a:fillRect/>
                    </a:stretch>
                  </pic:blipFill>
                  <pic:spPr bwMode="auto">
                    <a:xfrm>
                      <a:off x="0" y="0"/>
                      <a:ext cx="5943600" cy="31393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96" name="Picture"/>
            <a:graphic>
              <a:graphicData uri="http://schemas.openxmlformats.org/drawingml/2006/picture">
                <pic:pic>
                  <pic:nvPicPr>
                    <pic:cNvPr descr="C:/Users/apart/AppData/Local/Temp/html2doc_svg_JaEglr/svg_14.png" id="97" name="Picture"/>
                    <pic:cNvPicPr>
                      <a:picLocks noChangeArrowheads="1" noChangeAspect="1"/>
                    </pic:cNvPicPr>
                  </pic:nvPicPr>
                  <pic:blipFill>
                    <a:blip r:embed="rId95"/>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98"/>
    <w:bookmarkStart w:id="99"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99"/>
    <w:bookmarkEnd w:id="100"/>
    <w:bookmarkStart w:id="131"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101">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102">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103">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104">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105">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106">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7">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8">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9">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10">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11">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12">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13">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14">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15">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6">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7">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8">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9">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20">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21">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22">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23">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24">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25">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6">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7">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8">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9">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30">
        <w:r>
          <w:rPr>
            <w:rStyle w:val="Hyperlink"/>
          </w:rPr>
          <w:t xml:space="preserve">Sentiment Analysis in the Era of Large Language Models: A Reality Check</w:t>
        </w:r>
      </w:hyperlink>
      <w:r>
        <w:t xml:space="preserve">. Findings of NAACL 2024, pages 3892-3910.</w:t>
      </w:r>
    </w:p>
    <w:p>
      <w:pPr>
        <w:pStyle w:val="FirstParagraph"/>
        <w:jc w:val="both"/>
        <w:keepNext w:val="0"/>
        <w:keepLines w:val="0"/>
        <w:widowControl w:val="1"/>
      </w:pPr>
      <w:r>
        <w:t xml:space="preserve">Reproducibility note: generation artifacts, local benchmark outputs, and realism-study files are kept distinct throughout the text.</w:t>
      </w:r>
    </w:p>
    <w:bookmarkEnd w:id="13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8" Type="http://schemas.openxmlformats.org/officeDocument/2006/relationships/image" Target="media/rId18.png"/><Relationship Id="rId67" Type="http://schemas.openxmlformats.org/officeDocument/2006/relationships/image" Target="media/rId67.png"/><Relationship Id="rId82" Type="http://schemas.openxmlformats.org/officeDocument/2006/relationships/image" Target="media/rId82.png"/><Relationship Id="rId87" Type="http://schemas.openxmlformats.org/officeDocument/2006/relationships/image" Target="media/rId87.png"/><Relationship Id="rId92" Type="http://schemas.openxmlformats.org/officeDocument/2006/relationships/image" Target="media/rId92.png"/><Relationship Id="rId95" Type="http://schemas.openxmlformats.org/officeDocument/2006/relationships/image" Target="media/rId95.png"/><Relationship Id="rId30" Type="http://schemas.openxmlformats.org/officeDocument/2006/relationships/image" Target="media/rId30.png"/><Relationship Id="rId36" Type="http://schemas.openxmlformats.org/officeDocument/2006/relationships/image" Target="media/rId36.png"/><Relationship Id="rId39" Type="http://schemas.openxmlformats.org/officeDocument/2006/relationships/image" Target="media/rId39.png"/><Relationship Id="rId44" Type="http://schemas.openxmlformats.org/officeDocument/2006/relationships/image" Target="media/rId44.png"/><Relationship Id="rId49" Type="http://schemas.openxmlformats.org/officeDocument/2006/relationships/image" Target="media/rId49.png"/><Relationship Id="rId53" Type="http://schemas.openxmlformats.org/officeDocument/2006/relationships/image" Target="media/rId53.png"/><Relationship Id="rId56" Type="http://schemas.openxmlformats.org/officeDocument/2006/relationships/image" Target="media/rId56.png"/><Relationship Id="rId63" Type="http://schemas.openxmlformats.org/officeDocument/2006/relationships/image" Target="media/rId63.png"/><Relationship Id="rId114" Type="http://schemas.openxmlformats.org/officeDocument/2006/relationships/hyperlink" Target="https://aclanthology.org/2021.acl-long.188/" TargetMode="External"/><Relationship Id="rId113" Type="http://schemas.openxmlformats.org/officeDocument/2006/relationships/hyperlink" Target="https://aclanthology.org/2021.eacl-main.20/" TargetMode="External"/><Relationship Id="rId115" Type="http://schemas.openxmlformats.org/officeDocument/2006/relationships/hyperlink" Target="https://aclanthology.org/2021.emnlp-main.361/" TargetMode="External"/><Relationship Id="rId112" Type="http://schemas.openxmlformats.org/officeDocument/2006/relationships/hyperlink" Target="https://aclanthology.org/2021.emnlp-main.362/" TargetMode="External"/><Relationship Id="rId125" Type="http://schemas.openxmlformats.org/officeDocument/2006/relationships/hyperlink" Target="https://aclanthology.org/2021.findings-acl.84/" TargetMode="External"/><Relationship Id="rId111" Type="http://schemas.openxmlformats.org/officeDocument/2006/relationships/hyperlink" Target="https://aclanthology.org/2022.lrec-1.219/" TargetMode="External"/><Relationship Id="rId127" Type="http://schemas.openxmlformats.org/officeDocument/2006/relationships/hyperlink" Target="https://aclanthology.org/2023.acl-long.754/" TargetMode="External"/><Relationship Id="rId106" Type="http://schemas.openxmlformats.org/officeDocument/2006/relationships/hyperlink" Target="https://aclanthology.org/2023.emnlp-main.647/" TargetMode="External"/><Relationship Id="rId105" Type="http://schemas.openxmlformats.org/officeDocument/2006/relationships/hyperlink" Target="https://aclanthology.org/2023.findings-acl.612/" TargetMode="External"/><Relationship Id="rId128" Type="http://schemas.openxmlformats.org/officeDocument/2006/relationships/hyperlink" Target="https://aclanthology.org/2023.wassa-1.3/" TargetMode="External"/><Relationship Id="rId129" Type="http://schemas.openxmlformats.org/officeDocument/2006/relationships/hyperlink" Target="https://aclanthology.org/2024.eacl-long.167/" TargetMode="External"/><Relationship Id="rId130" Type="http://schemas.openxmlformats.org/officeDocument/2006/relationships/hyperlink" Target="https://aclanthology.org/2024.findings-naacl.246/" TargetMode="External"/><Relationship Id="rId119" Type="http://schemas.openxmlformats.org/officeDocument/2006/relationships/hyperlink" Target="https://aclanthology.org/2024.lrec-main.879/" TargetMode="External"/><Relationship Id="rId107" Type="http://schemas.openxmlformats.org/officeDocument/2006/relationships/hyperlink" Target="https://aclanthology.org/C16-1233/" TargetMode="External"/><Relationship Id="rId108" Type="http://schemas.openxmlformats.org/officeDocument/2006/relationships/hyperlink" Target="https://aclanthology.org/L18-1425/" TargetMode="External"/><Relationship Id="rId104" Type="http://schemas.openxmlformats.org/officeDocument/2006/relationships/hyperlink" Target="https://aclanthology.org/N19-1423/" TargetMode="External"/><Relationship Id="rId102" Type="http://schemas.openxmlformats.org/officeDocument/2006/relationships/hyperlink" Target="https://aclanthology.org/S14-2004/" TargetMode="External"/><Relationship Id="rId103" Type="http://schemas.openxmlformats.org/officeDocument/2006/relationships/hyperlink" Target="https://aclanthology.org/S16-1002/" TargetMode="External"/><Relationship Id="rId124" Type="http://schemas.openxmlformats.org/officeDocument/2006/relationships/hyperlink" Target="https://doi.org/10.1016/j.compedu.2020.103965" TargetMode="External"/><Relationship Id="rId117" Type="http://schemas.openxmlformats.org/officeDocument/2006/relationships/hyperlink" Target="https://doi.org/10.1016/j.nlp.2022.100003" TargetMode="External"/><Relationship Id="rId116" Type="http://schemas.openxmlformats.org/officeDocument/2006/relationships/hyperlink" Target="https://doi.org/10.1016/j.stueduc.2021.100979" TargetMode="External"/><Relationship Id="rId118" Type="http://schemas.openxmlformats.org/officeDocument/2006/relationships/hyperlink" Target="https://doi.org/10.1016/j.stueduc.2024.101406" TargetMode="External"/><Relationship Id="rId121" Type="http://schemas.openxmlformats.org/officeDocument/2006/relationships/hyperlink" Target="https://doi.org/10.1080/02602938.2018.1463354" TargetMode="External"/><Relationship Id="rId122" Type="http://schemas.openxmlformats.org/officeDocument/2006/relationships/hyperlink" Target="https://doi.org/10.1080/07294360.2019.1657807" TargetMode="External"/><Relationship Id="rId109" Type="http://schemas.openxmlformats.org/officeDocument/2006/relationships/hyperlink" Target="https://doi.org/10.1108/EL-06-2019-0140" TargetMode="External"/><Relationship Id="rId110" Type="http://schemas.openxmlformats.org/officeDocument/2006/relationships/hyperlink" Target="https://doi.org/10.1109/ACCESS.2022.3177752" TargetMode="External"/><Relationship Id="rId123" Type="http://schemas.openxmlformats.org/officeDocument/2006/relationships/hyperlink" Target="https://doi.org/10.1186/s41039-018-0073-0" TargetMode="External"/><Relationship Id="rId120" Type="http://schemas.openxmlformats.org/officeDocument/2006/relationships/hyperlink" Target="https://doi.org/10.3102/003465430298487" TargetMode="External"/><Relationship Id="rId126" Type="http://schemas.openxmlformats.org/officeDocument/2006/relationships/hyperlink" Target="https://proceedings.neurips.cc/paper_files/paper/2022/hash/0346c148ba1c21c6b4780a961ea141dc-Abstract-Conference.html" TargetMode="External"/><Relationship Id="rId101"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4" Type="http://schemas.openxmlformats.org/officeDocument/2006/relationships/hyperlink" Target="https://aclanthology.org/2021.acl-long.188/" TargetMode="External"/><Relationship Id="rId113" Type="http://schemas.openxmlformats.org/officeDocument/2006/relationships/hyperlink" Target="https://aclanthology.org/2021.eacl-main.20/" TargetMode="External"/><Relationship Id="rId115" Type="http://schemas.openxmlformats.org/officeDocument/2006/relationships/hyperlink" Target="https://aclanthology.org/2021.emnlp-main.361/" TargetMode="External"/><Relationship Id="rId112" Type="http://schemas.openxmlformats.org/officeDocument/2006/relationships/hyperlink" Target="https://aclanthology.org/2021.emnlp-main.362/" TargetMode="External"/><Relationship Id="rId125" Type="http://schemas.openxmlformats.org/officeDocument/2006/relationships/hyperlink" Target="https://aclanthology.org/2021.findings-acl.84/" TargetMode="External"/><Relationship Id="rId111" Type="http://schemas.openxmlformats.org/officeDocument/2006/relationships/hyperlink" Target="https://aclanthology.org/2022.lrec-1.219/" TargetMode="External"/><Relationship Id="rId127" Type="http://schemas.openxmlformats.org/officeDocument/2006/relationships/hyperlink" Target="https://aclanthology.org/2023.acl-long.754/" TargetMode="External"/><Relationship Id="rId106" Type="http://schemas.openxmlformats.org/officeDocument/2006/relationships/hyperlink" Target="https://aclanthology.org/2023.emnlp-main.647/" TargetMode="External"/><Relationship Id="rId105" Type="http://schemas.openxmlformats.org/officeDocument/2006/relationships/hyperlink" Target="https://aclanthology.org/2023.findings-acl.612/" TargetMode="External"/><Relationship Id="rId128" Type="http://schemas.openxmlformats.org/officeDocument/2006/relationships/hyperlink" Target="https://aclanthology.org/2023.wassa-1.3/" TargetMode="External"/><Relationship Id="rId129" Type="http://schemas.openxmlformats.org/officeDocument/2006/relationships/hyperlink" Target="https://aclanthology.org/2024.eacl-long.167/" TargetMode="External"/><Relationship Id="rId130" Type="http://schemas.openxmlformats.org/officeDocument/2006/relationships/hyperlink" Target="https://aclanthology.org/2024.findings-naacl.246/" TargetMode="External"/><Relationship Id="rId119" Type="http://schemas.openxmlformats.org/officeDocument/2006/relationships/hyperlink" Target="https://aclanthology.org/2024.lrec-main.879/" TargetMode="External"/><Relationship Id="rId107" Type="http://schemas.openxmlformats.org/officeDocument/2006/relationships/hyperlink" Target="https://aclanthology.org/C16-1233/" TargetMode="External"/><Relationship Id="rId108" Type="http://schemas.openxmlformats.org/officeDocument/2006/relationships/hyperlink" Target="https://aclanthology.org/L18-1425/" TargetMode="External"/><Relationship Id="rId104" Type="http://schemas.openxmlformats.org/officeDocument/2006/relationships/hyperlink" Target="https://aclanthology.org/N19-1423/" TargetMode="External"/><Relationship Id="rId102" Type="http://schemas.openxmlformats.org/officeDocument/2006/relationships/hyperlink" Target="https://aclanthology.org/S14-2004/" TargetMode="External"/><Relationship Id="rId103" Type="http://schemas.openxmlformats.org/officeDocument/2006/relationships/hyperlink" Target="https://aclanthology.org/S16-1002/" TargetMode="External"/><Relationship Id="rId124" Type="http://schemas.openxmlformats.org/officeDocument/2006/relationships/hyperlink" Target="https://doi.org/10.1016/j.compedu.2020.103965" TargetMode="External"/><Relationship Id="rId117" Type="http://schemas.openxmlformats.org/officeDocument/2006/relationships/hyperlink" Target="https://doi.org/10.1016/j.nlp.2022.100003" TargetMode="External"/><Relationship Id="rId116" Type="http://schemas.openxmlformats.org/officeDocument/2006/relationships/hyperlink" Target="https://doi.org/10.1016/j.stueduc.2021.100979" TargetMode="External"/><Relationship Id="rId118" Type="http://schemas.openxmlformats.org/officeDocument/2006/relationships/hyperlink" Target="https://doi.org/10.1016/j.stueduc.2024.101406" TargetMode="External"/><Relationship Id="rId121" Type="http://schemas.openxmlformats.org/officeDocument/2006/relationships/hyperlink" Target="https://doi.org/10.1080/02602938.2018.1463354" TargetMode="External"/><Relationship Id="rId122" Type="http://schemas.openxmlformats.org/officeDocument/2006/relationships/hyperlink" Target="https://doi.org/10.1080/07294360.2019.1657807" TargetMode="External"/><Relationship Id="rId109" Type="http://schemas.openxmlformats.org/officeDocument/2006/relationships/hyperlink" Target="https://doi.org/10.1108/EL-06-2019-0140" TargetMode="External"/><Relationship Id="rId110" Type="http://schemas.openxmlformats.org/officeDocument/2006/relationships/hyperlink" Target="https://doi.org/10.1109/ACCESS.2022.3177752" TargetMode="External"/><Relationship Id="rId123" Type="http://schemas.openxmlformats.org/officeDocument/2006/relationships/hyperlink" Target="https://doi.org/10.1186/s41039-018-0073-0" TargetMode="External"/><Relationship Id="rId120" Type="http://schemas.openxmlformats.org/officeDocument/2006/relationships/hyperlink" Target="https://doi.org/10.3102/003465430298487" TargetMode="External"/><Relationship Id="rId126" Type="http://schemas.openxmlformats.org/officeDocument/2006/relationships/hyperlink" Target="https://proceedings.neurips.cc/paper_files/paper/2022/hash/0346c148ba1c21c6b4780a961ea141dc-Abstract-Conference.html" TargetMode="External"/><Relationship Id="rId101"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2026-06-04T14:02:11Z</dcterms:created>
  <dcterms:modified xsi:type="dcterms:W3CDTF">2026-06-04T14:02:11Z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