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2"/>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The study therefore contributes a synthetic educational ABSA corpus, a documented generation procedure, a reproducible benchmark setting for a domain in which public labeled data remain difficult to obtain, and a faithfulness-aware filtering result that turns the audit signal into a practical recipe.</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280410"/>
            <wp:effectExtent b="0" l="0" r="0" t="0"/>
            <wp:docPr descr="Synthetic data generation pipeline" title="" id="15" name="Picture"/>
            <a:graphic>
              <a:graphicData uri="http://schemas.openxmlformats.org/drawingml/2006/picture">
                <pic:pic>
                  <pic:nvPicPr>
                    <pic:cNvPr descr="C:/Users/apart/AppData/Local/Temp/html2doc_svg_V1jpkr/svg_0.png" id="16" name="Picture"/>
                    <pic:cNvPicPr>
                      <a:picLocks noChangeArrowheads="1" noChangeAspect="1"/>
                    </pic:cNvPicPr>
                  </pic:nvPicPr>
                  <pic:blipFill>
                    <a:blip r:embed="rId14"/>
                    <a:stretch>
                      <a:fillRect/>
                    </a:stretch>
                  </pic:blipFill>
                  <pic:spPr bwMode="auto">
                    <a:xfrm>
                      <a:off x="0" y="0"/>
                      <a:ext cx="6400800" cy="32804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440430"/>
            <wp:effectExtent b="0" l="0" r="0" t="0"/>
            <wp:docPr descr="ABSA analysis pipeline" title="" id="19" name="Picture"/>
            <a:graphic>
              <a:graphicData uri="http://schemas.openxmlformats.org/drawingml/2006/picture">
                <pic:pic>
                  <pic:nvPicPr>
                    <pic:cNvPr descr="C:/Users/apart/AppData/Local/Temp/html2doc_svg_V1jpkr/svg_1.png" id="20" name="Picture"/>
                    <pic:cNvPicPr>
                      <a:picLocks noChangeArrowheads="1" noChangeAspect="1"/>
                    </pic:cNvPicPr>
                  </pic:nvPicPr>
                  <pic:blipFill>
                    <a:blip r:embed="rId18"/>
                    <a:stretch>
                      <a:fillRect/>
                    </a:stretch>
                  </pic:blipFill>
                  <pic:spPr bwMode="auto">
                    <a:xfrm>
                      <a:off x="0" y="0"/>
                      <a:ext cx="6400800" cy="344043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All reported methods share one corpus, one split policy, one validation stage, and one held-out test report.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1864489"/>
            <wp:effectExtent b="0" l="0" r="0" t="0"/>
            <wp:docPr descr="Realism improvement curve" title="" id="31" name="Picture"/>
            <a:graphic>
              <a:graphicData uri="http://schemas.openxmlformats.org/drawingml/2006/picture">
                <pic:pic>
                  <pic:nvPicPr>
                    <pic:cNvPr descr="C:/Users/apart/AppData/Local/Temp/html2doc_svg_V1jpkr/svg_2.png" id="32" name="Picture"/>
                    <pic:cNvPicPr>
                      <a:picLocks noChangeArrowheads="1" noChangeAspect="1"/>
                    </pic:cNvPicPr>
                  </pic:nvPicPr>
                  <pic:blipFill>
                    <a:blip r:embed="rId30"/>
                    <a:stretch>
                      <a:fillRect/>
                    </a:stretch>
                  </pic:blipFill>
                  <pic:spPr bwMode="auto">
                    <a:xfrm>
                      <a:off x="0" y="0"/>
                      <a:ext cx="6400800" cy="18644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72"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2984601" cy="2145513"/>
            <wp:effectExtent b="0" l="0" r="0" t="0"/>
            <wp:docPr descr="Aspect sentiment heatmap" title="" id="37" name="Picture"/>
            <a:graphic>
              <a:graphicData uri="http://schemas.openxmlformats.org/drawingml/2006/picture">
                <pic:pic>
                  <pic:nvPicPr>
                    <pic:cNvPr descr="C:/Users/apart/AppData/Local/Temp/html2doc_svg_V1jpkr/svg_3.png" id="38" name="Picture"/>
                    <pic:cNvPicPr>
                      <a:picLocks noChangeArrowheads="1" noChangeAspect="1"/>
                    </pic:cNvPicPr>
                  </pic:nvPicPr>
                  <pic:blipFill>
                    <a:blip r:embed="rId36"/>
                    <a:stretch>
                      <a:fillRect/>
                    </a:stretch>
                  </pic:blipFill>
                  <pic:spPr bwMode="auto">
                    <a:xfrm>
                      <a:off x="0" y="0"/>
                      <a:ext cx="2984601" cy="21455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4175347"/>
            <wp:effectExtent b="0" l="0" r="0" t="0"/>
            <wp:docPr descr="Corpus profile" title="" id="40" name="Picture"/>
            <a:graphic>
              <a:graphicData uri="http://schemas.openxmlformats.org/drawingml/2006/picture">
                <pic:pic>
                  <pic:nvPicPr>
                    <pic:cNvPr descr="C:/Users/apart/AppData/Local/Temp/html2doc_svg_V1jpkr/svg_4.png" id="41" name="Picture"/>
                    <pic:cNvPicPr>
                      <a:picLocks noChangeArrowheads="1" noChangeAspect="1"/>
                    </pic:cNvPicPr>
                  </pic:nvPicPr>
                  <pic:blipFill>
                    <a:blip r:embed="rId39"/>
                    <a:stretch>
                      <a:fillRect/>
                    </a:stretch>
                  </pic:blipFill>
                  <pic:spPr bwMode="auto">
                    <a:xfrm>
                      <a:off x="0" y="0"/>
                      <a:ext cx="6400800" cy="417534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2"/>
    <w:bookmarkStart w:id="43" w:name="scope-of-reported-analyses"/>
    <w:p>
      <w:pPr>
        <w:pStyle w:val="Heading3"/>
        <w:keepNext/>
        <w:keepLines/>
        <w:widowControl w:val="1"/>
      </w:pPr>
      <w:r>
        <w:t xml:space="preserve">6.2 Scope of Reported Analyses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6400800" cy="2414383"/>
            <wp:effectExtent b="0" l="0" r="0" t="0"/>
            <wp:docPr descr="Benchmark comparison" title="" id="45" name="Picture"/>
            <a:graphic>
              <a:graphicData uri="http://schemas.openxmlformats.org/drawingml/2006/picture">
                <pic:pic>
                  <pic:nvPicPr>
                    <pic:cNvPr descr="C:/Users/apart/AppData/Local/Temp/html2doc_svg_V1jpkr/svg_5.png" id="46" name="Picture"/>
                    <pic:cNvPicPr>
                      <a:picLocks noChangeArrowheads="1" noChangeAspect="1"/>
                    </pic:cNvPicPr>
                  </pic:nvPicPr>
                  <pic:blipFill>
                    <a:blip r:embed="rId44"/>
                    <a:stretch>
                      <a:fillRect/>
                    </a:stretch>
                  </pic:blipFill>
                  <pic:spPr bwMode="auto">
                    <a:xfrm>
                      <a:off x="0" y="0"/>
                      <a:ext cx="6400800" cy="241438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2984601" cy="2137106"/>
            <wp:effectExtent b="0" l="0" r="0" t="0"/>
            <wp:docPr descr="Best-model per-aspect benchmark" title="" id="50" name="Picture"/>
            <a:graphic>
              <a:graphicData uri="http://schemas.openxmlformats.org/drawingml/2006/picture">
                <pic:pic>
                  <pic:nvPicPr>
                    <pic:cNvPr descr="C:/Users/apart/AppData/Local/Temp/html2doc_svg_V1jpkr/svg_6.png" id="51" name="Picture"/>
                    <pic:cNvPicPr>
                      <a:picLocks noChangeArrowheads="1" noChangeAspect="1"/>
                    </pic:cNvPicPr>
                  </pic:nvPicPr>
                  <pic:blipFill>
                    <a:blip r:embed="rId49"/>
                    <a:stretch>
                      <a:fillRect/>
                    </a:stretch>
                  </pic:blipFill>
                  <pic:spPr bwMode="auto">
                    <a:xfrm>
                      <a:off x="0" y="0"/>
                      <a:ext cx="2984601" cy="213710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6400800" cy="2280570"/>
            <wp:effectExtent b="0" l="0" r="0" t="0"/>
            <wp:docPr descr="External validation on mapped real student feedback" title="" id="54" name="Picture"/>
            <a:graphic>
              <a:graphicData uri="http://schemas.openxmlformats.org/drawingml/2006/picture">
                <pic:pic>
                  <pic:nvPicPr>
                    <pic:cNvPr descr="C:/Users/apart/AppData/Local/Temp/html2doc_svg_V1jpkr/svg_7.png" id="55" name="Picture"/>
                    <pic:cNvPicPr>
                      <a:picLocks noChangeArrowheads="1" noChangeAspect="1"/>
                    </pic:cNvPicPr>
                  </pic:nvPicPr>
                  <pic:blipFill>
                    <a:blip r:embed="rId53"/>
                    <a:stretch>
                      <a:fillRect/>
                    </a:stretch>
                  </pic:blipFill>
                  <pic:spPr bwMode="auto">
                    <a:xfrm>
                      <a:off x="0" y="0"/>
                      <a:ext cx="6400800" cy="22805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6400800" cy="3455434"/>
            <wp:effectExtent b="0" l="0" r="0" t="0"/>
            <wp:docPr descr="Overlap-matched internal versus external comparison" title="" id="57" name="Picture"/>
            <a:graphic>
              <a:graphicData uri="http://schemas.openxmlformats.org/drawingml/2006/picture">
                <pic:pic>
                  <pic:nvPicPr>
                    <pic:cNvPr descr="C:/Users/apart/AppData/Local/Temp/html2doc_svg_V1jpkr/svg_8.png" id="58" name="Picture"/>
                    <pic:cNvPicPr>
                      <a:picLocks noChangeArrowheads="1" noChangeAspect="1"/>
                    </pic:cNvPicPr>
                  </pic:nvPicPr>
                  <pic:blipFill>
                    <a:blip r:embed="rId56"/>
                    <a:stretch>
                      <a:fillRect/>
                    </a:stretch>
                  </pic:blipFill>
                  <pic:spPr bwMode="auto">
                    <a:xfrm>
                      <a:off x="0" y="0"/>
                      <a:ext cx="6400800" cy="3455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440430"/>
            <wp:effectExtent b="0" l="0" r="0" t="0"/>
            <wp:docPr descr="Realism validation and prompt refinement pipeline" title="" id="64" name="Picture"/>
            <a:graphic>
              <a:graphicData uri="http://schemas.openxmlformats.org/drawingml/2006/picture">
                <pic:pic>
                  <pic:nvPicPr>
                    <pic:cNvPr descr="C:/Users/apart/AppData/Local/Temp/html2doc_svg_V1jpkr/svg_9.png" id="65" name="Picture"/>
                    <pic:cNvPicPr>
                      <a:picLocks noChangeArrowheads="1" noChangeAspect="1"/>
                    </pic:cNvPicPr>
                  </pic:nvPicPr>
                  <pic:blipFill>
                    <a:blip r:embed="rId63"/>
                    <a:stretch>
                      <a:fillRect/>
                    </a:stretch>
                  </pic:blipFill>
                  <pic:spPr bwMode="auto">
                    <a:xfrm>
                      <a:off x="0" y="0"/>
                      <a:ext cx="6400800" cy="344043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10.</w:t>
      </w:r>
      <w:r>
        <w:rPr>
          <w:b w:val="0"/>
          <w:i/>
        </w:rPr>
        <w:t xml:space="preserve"> </w:t>
      </w:r>
      <w:r>
        <w:rPr>
          <w:b w:val="0"/>
          <w:i/>
        </w:rPr>
        <w:t>The realism-validation loop. A judge evaluates one blended pool of real and synthetic reviews, the resulting metrics and cue evidence are summarized, and prompt revision affects the next cycle.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66"/>
    <w:bookmarkStart w:id="70" w:name="Xd7172303a2a7df33ecbf786e84e1f7cb8de8754"/>
    <w:p>
      <w:pPr>
        <w:pStyle w:val="Heading3"/>
        <w:keepNext/>
        <w:keepLines/>
        <w:widowControl w:val="1"/>
      </w:pPr>
      <w:r>
        <w:t xml:space="preserve">6.7D Faithfulness-Aware Filtering of the Training Corpus</w:t>
      </w:r>
    </w:p>
    <w:p>
      <w:pPr>
        <w:pStyle w:val="FirstParagraph"/>
        <w:jc w:val="both"/>
        <w:keepNext w:val="0"/>
        <w:keepLines w:val="0"/>
        <w:widowControl w:val="1"/>
      </w:pPr>
      <w:r>
        <w:t xml:space="preserve">The 250-row audit in Section 6.7B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on each bucket using the calibrated Section 6.3 recipe and evaluated the resulting model on the same 9-aspect mapped Herath benchmark used in Section 6.6. To separate effect from seed variance, every bucket was retrained at four random seeds (17, 23, 41, 42)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four seeds with 95% bootstrap CI in brackets. Sentiment MSE is computed on aspects the detector identified as present.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four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0.384 [0.363, 0.404]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0.563 [0.553,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0.345 [0.331, 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0.586 [0.565, 0.607]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0.369 [0.341, 0.407]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 [0.552, 0.608]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0.747 [0.641, 0.871]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0.526 [0.515, 0.537]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0.402 [0.361, 0.447]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0.588 [0.580, 0.598]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findings carry the experiment, both stated as paired bucket-versus-baseline differences whose 95% bootstrap CI over the four seeds excludes zero. First, at fixed training size, filtering improves sentiment-polarity faithfulness on aspects the detector identified as present: the</w:t>
      </w:r>
      <w:r>
        <w:t xml:space="preserve"> </w:t>
      </w:r>
      <w:r>
        <w:rPr>
          <w:rStyle w:val="VerbatimChar"/>
        </w:rPr>
        <w:t xml:space="preserve">top50</w:t>
      </w:r>
      <w:r>
        <w:t xml:space="preserve"> </w:t>
      </w:r>
      <w:r>
        <w:t xml:space="preserve">subset reduces sentiment MSE by 0.057 relative to the size-matched random sample (</w:t>
      </w:r>
      <w:r>
        <w:rPr>
          <w:rStyle w:val="VerbatimChar"/>
        </w:rPr>
        <w:t xml:space="preserve">top50 − random_5k</w:t>
      </w:r>
      <w:r>
        <w:t xml:space="preserve"> </w:t>
      </w:r>
      <w:r>
        <w:t xml:space="preserve">mean</w:t>
      </w:r>
      <w:r>
        <w:t xml:space="preserve"> </w:t>
      </w:r>
      <w:r>
        <w:rPr>
          <w:rStyle w:val="VerbatimChar"/>
        </w:rPr>
        <w:t xml:space="preserve">−0.057</w:t>
      </w:r>
      <w:r>
        <w:t xml:space="preserve">, 95% bootstrap CI</w:t>
      </w:r>
      <w:r>
        <w:t xml:space="preserve"> </w:t>
      </w:r>
      <w:r>
        <w:rPr>
          <w:rStyle w:val="VerbatimChar"/>
        </w:rPr>
        <w:t xml:space="preserve">[−0.108, −0.018]</w:t>
      </w:r>
      <w:r>
        <w:t xml:space="preserve">,</w:t>
      </w:r>
      <w:r>
        <w:t xml:space="preserve"> </w:t>
      </w:r>
      <w:r>
        <w:rPr>
          <w:rStyle w:val="VerbatimChar"/>
        </w:rPr>
        <w:t xml:space="preserve">top50</w:t>
      </w:r>
      <w:r>
        <w:t xml:space="preserve"> </w:t>
      </w:r>
      <w:r>
        <w:t xml:space="preserve">wins in 4 of 4 seeds), and the absolute level (</w:t>
      </w:r>
      <w:r>
        <w:rPr>
          <w:rStyle w:val="VerbatimChar"/>
        </w:rPr>
        <w:t xml:space="preserve">0.345</w:t>
      </w:r>
      <w:r>
        <w:t xml:space="preserve">) is the lowest of any bucket, including the full corpus. Second, the negative-control</w:t>
      </w:r>
      <w:r>
        <w:t xml:space="preserve"> </w:t>
      </w:r>
      <w:r>
        <w:rPr>
          <w:rStyle w:val="VerbatimChar"/>
        </w:rPr>
        <w:t xml:space="preserve">bot25</w:t>
      </w:r>
      <w:r>
        <w:t xml:space="preserve"> </w:t>
      </w:r>
      <w:r>
        <w:t xml:space="preserve">bucket collapses on the same metric (</w:t>
      </w:r>
      <w:r>
        <w:rPr>
          <w:rStyle w:val="VerbatimChar"/>
        </w:rPr>
        <w:t xml:space="preserve">bot25 − full</w:t>
      </w:r>
      <w:r>
        <w:t xml:space="preserve"> </w:t>
      </w:r>
      <w:r>
        <w:t xml:space="preserve">mean</w:t>
      </w:r>
      <w:r>
        <w:t xml:space="preserve"> </w:t>
      </w:r>
      <w:r>
        <w:rPr>
          <w:rStyle w:val="VerbatimChar"/>
        </w:rPr>
        <w:t xml:space="preserve">+0.378</w:t>
      </w:r>
      <w:r>
        <w:t xml:space="preserve">, CI</w:t>
      </w:r>
      <w:r>
        <w:t xml:space="preserve"> </w:t>
      </w:r>
      <w:r>
        <w:rPr>
          <w:rStyle w:val="VerbatimChar"/>
        </w:rPr>
        <w:t xml:space="preserve">[+0.249, +0.525]</w:t>
      </w:r>
      <w:r>
        <w:t xml:space="preserve">) and on macro balanced accuracy (</w:t>
      </w:r>
      <w:r>
        <w:rPr>
          <w:rStyle w:val="VerbatimChar"/>
        </w:rPr>
        <w:t xml:space="preserve">−0.051</w:t>
      </w:r>
      <w:r>
        <w:t xml:space="preserve">, CI</w:t>
      </w:r>
      <w:r>
        <w:t xml:space="preserve"> </w:t>
      </w:r>
      <w:r>
        <w:rPr>
          <w:rStyle w:val="VerbatimChar"/>
        </w:rPr>
        <w:t xml:space="preserve">[−0.066, −0.038]</w:t>
      </w:r>
      <w:r>
        <w:t xml:space="preserve">), so the audit score discriminates informative training rows from uninformative ones at both ends of the distribution.</w:t>
      </w:r>
    </w:p>
    <w:p>
      <w:pPr>
        <w:pStyle w:val="BodyText"/>
        <w:jc w:val="both"/>
        <w:keepNext w:val="0"/>
        <w:keepLines w:val="0"/>
        <w:widowControl w:val="1"/>
      </w:pPr>
      <w:r>
        <w:t xml:space="preserve">Together the two metrics support the third hypothesis of the experiment: the audit signal acts on sentiment polarity, which is the dimension the audit measures, and on macro-balanced aspect detection, where the</w:t>
      </w:r>
      <w:r>
        <w:t xml:space="preserve"> </w:t>
      </w:r>
      <w:r>
        <w:rPr>
          <w:rStyle w:val="VerbatimChar"/>
        </w:rPr>
        <w:t xml:space="preserve">top50</w:t>
      </w:r>
      <w:r>
        <w:t xml:space="preserve"> </w:t>
      </w:r>
      <w:r>
        <w:t xml:space="preserve">bucket (0.586) and the size-controlled</w:t>
      </w:r>
      <w:r>
        <w:t xml:space="preserve"> </w:t>
      </w:r>
      <w:r>
        <w:rPr>
          <w:rStyle w:val="VerbatimChar"/>
        </w:rPr>
        <w:t xml:space="preserve">random_5k</w:t>
      </w:r>
      <w:r>
        <w:t xml:space="preserve"> </w:t>
      </w:r>
      <w:r>
        <w:t xml:space="preserve">baseline (0.588) both lead the full corpus (0.577) and the bottom-25% control trails clearly (0.526).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327563"/>
            <wp:effectExtent b="0" l="0" r="0" t="0"/>
            <wp:docPr descr="Faithfulness-aware filtering improves Herath sentiment polarity at fixed training size" title="" id="68" name="Picture"/>
            <a:graphic>
              <a:graphicData uri="http://schemas.openxmlformats.org/drawingml/2006/picture">
                <pic:pic>
                  <pic:nvPicPr>
                    <pic:cNvPr descr="C:/Users/apart/AppData/Local/Temp/html2doc_svg_V1jpkr/svg_10.png" id="69" name="Picture"/>
                    <pic:cNvPicPr>
                      <a:picLocks noChangeArrowheads="1" noChangeAspect="1"/>
                    </pic:cNvPicPr>
                  </pic:nvPicPr>
                  <pic:blipFill>
                    <a:blip r:embed="rId67"/>
                    <a:stretch>
                      <a:fillRect/>
                    </a:stretch>
                  </pic:blipFill>
                  <pic:spPr bwMode="auto">
                    <a:xfrm>
                      <a:off x="0" y="0"/>
                      <a:ext cx="6400800" cy="23275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11.</w:t>
      </w:r>
      <w:r>
        <w:rPr>
          <w:b w:val="0"/>
          <w:i/>
        </w:rPr>
        <w:t xml:space="preserve"> </w:t>
      </w:r>
      <w:r>
        <w:rPr>
          <w:b w:val="0"/>
          <w:i/>
        </w:rPr>
        <w:t>Faithfulness-aware filtering on the 10K synthetic corpus. (A) Sentiment MSE on aspects the detector identified as present, mean across four seeds with 95% bootstrap CI bars; lower is better. The top50 bucket achieves the lowest sentiment MSE, and the size-controlled random_5k baseline cannot match it (paired CI excludes zero, 4/4 seeds favor top50). The bot25 bucket fails dramatically, confirming the signal is informative. (B) Macro balanced accuracy on aspect detection: top50 (0.586) and random_5k (0.588) lead the full corpus (0.577) and the bot25 control trails (0.526).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Practically, the result is that the audit score in Section 6.7B is not only a documentation of corpus noise but an actionable filter. Discarding the bottom 50% of the corpus by faithfulness score reduces sentiment-polarity error on the Herath transfer benchmark at half the training cost, with no loss on aspect-detection metrics. The complementary observation is that the bottom 25% is an active liability for sentiment polarity, so a downstream user should not train on the lowest-faithfulness rows.</w:t>
      </w:r>
    </w:p>
    <w:bookmarkEnd w:id="70"/>
    <w:bookmarkStart w:id="71"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71"/>
    <w:bookmarkEnd w:id="72"/>
    <w:bookmarkStart w:id="76"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73"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is still narrow: the transfer result uses one real educational corpus and only a conservative 9-aspect overlap, so broader claims about the entire 20-aspect schema still require more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6.7D top-50% faithfulness filter;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73"/>
    <w:bookmarkStart w:id="74"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6.7D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74"/>
    <w:bookmarkStart w:id="75"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5"/>
    <w:bookmarkEnd w:id="76"/>
    <w:bookmarkStart w:id="77"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7"/>
    <w:bookmarkStart w:id="100" w:name="appendix"/>
    <w:p>
      <w:pPr>
        <w:pStyle w:val="Heading2"/>
        <w:keepNext/>
        <w:keepLines/>
        <w:widowControl w:val="1"/>
      </w:pPr>
      <w:r>
        <w:t xml:space="preserve">Appendix</w:t>
      </w:r>
    </w:p>
    <w:bookmarkStart w:id="78"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8"/>
    <w:bookmarkStart w:id="79"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79"/>
    <w:bookmarkStart w:id="80"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0"/>
    <w:bookmarkStart w:id="81"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1"/>
    <w:bookmarkStart w:id="85"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2984601" cy="2212163"/>
            <wp:effectExtent b="0" l="0" r="0" t="0"/>
            <wp:docPr descr="Per-aspect F1 heatmap on the mapped real benchmark" title="" id="83" name="Picture"/>
            <a:graphic>
              <a:graphicData uri="http://schemas.openxmlformats.org/drawingml/2006/picture">
                <pic:pic>
                  <pic:nvPicPr>
                    <pic:cNvPr descr="C:/Users/apart/AppData/Local/Temp/html2doc_svg_V1jpkr/svg_11.png" id="84" name="Picture"/>
                    <pic:cNvPicPr>
                      <a:picLocks noChangeArrowheads="1" noChangeAspect="1"/>
                    </pic:cNvPicPr>
                  </pic:nvPicPr>
                  <pic:blipFill>
                    <a:blip r:embed="rId82"/>
                    <a:stretch>
                      <a:fillRect/>
                    </a:stretch>
                  </pic:blipFill>
                  <pic:spPr bwMode="auto">
                    <a:xfrm>
                      <a:off x="0" y="0"/>
                      <a:ext cx="2984601" cy="22121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85"/>
    <w:bookmarkStart w:id="86"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86"/>
    <w:bookmarkStart w:id="90"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6400800" cy="4146172"/>
            <wp:effectExtent b="0" l="0" r="0" t="0"/>
            <wp:docPr descr="Aspect count distribution in the pilot validation subset" title="" id="88" name="Picture"/>
            <a:graphic>
              <a:graphicData uri="http://schemas.openxmlformats.org/drawingml/2006/picture">
                <pic:pic>
                  <pic:nvPicPr>
                    <pic:cNvPr descr="C:/Users/apart/AppData/Local/Temp/html2doc_svg_V1jpkr/svg_12.png" id="89" name="Picture"/>
                    <pic:cNvPicPr>
                      <a:picLocks noChangeArrowheads="1" noChangeAspect="1"/>
                    </pic:cNvPicPr>
                  </pic:nvPicPr>
                  <pic:blipFill>
                    <a:blip r:embed="rId87"/>
                    <a:stretch>
                      <a:fillRect/>
                    </a:stretch>
                  </pic:blipFill>
                  <pic:spPr bwMode="auto">
                    <a:xfrm>
                      <a:off x="0" y="0"/>
                      <a:ext cx="6400800" cy="41461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0"/>
    <w:bookmarkStart w:id="91"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1"/>
    <w:bookmarkStart w:id="98"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6400800" cy="3380814"/>
            <wp:effectExtent b="0" l="0" r="0" t="0"/>
            <wp:docPr descr="Seed stability across the strongest local models" title="" id="93" name="Picture"/>
            <a:graphic>
              <a:graphicData uri="http://schemas.openxmlformats.org/drawingml/2006/picture">
                <pic:pic>
                  <pic:nvPicPr>
                    <pic:cNvPr descr="C:/Users/apart/AppData/Local/Temp/html2doc_svg_V1jpkr/svg_13.png" id="94" name="Picture"/>
                    <pic:cNvPicPr>
                      <a:picLocks noChangeArrowheads="1" noChangeAspect="1"/>
                    </pic:cNvPicPr>
                  </pic:nvPicPr>
                  <pic:blipFill>
                    <a:blip r:embed="rId92"/>
                    <a:stretch>
                      <a:fillRect/>
                    </a:stretch>
                  </pic:blipFill>
                  <pic:spPr bwMode="auto">
                    <a:xfrm>
                      <a:off x="0" y="0"/>
                      <a:ext cx="6400800" cy="3380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4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6400800" cy="3020767"/>
            <wp:effectExtent b="0" l="0" r="0" t="0"/>
            <wp:docPr descr="Training-budget tuning comparison for BERT and DistilBERT" title="" id="96" name="Picture"/>
            <a:graphic>
              <a:graphicData uri="http://schemas.openxmlformats.org/drawingml/2006/picture">
                <pic:pic>
                  <pic:nvPicPr>
                    <pic:cNvPr descr="C:/Users/apart/AppData/Local/Temp/html2doc_svg_V1jpkr/svg_14.png" id="97" name="Picture"/>
                    <pic:cNvPicPr>
                      <a:picLocks noChangeArrowheads="1" noChangeAspect="1"/>
                    </pic:cNvPicPr>
                  </pic:nvPicPr>
                  <pic:blipFill>
                    <a:blip r:embed="rId95"/>
                    <a:stretch>
                      <a:fillRect/>
                    </a:stretch>
                  </pic:blipFill>
                  <pic:spPr bwMode="auto">
                    <a:xfrm>
                      <a:off x="0" y="0"/>
                      <a:ext cx="6400800" cy="30207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4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8"/>
    <w:bookmarkStart w:id="99"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99"/>
    <w:bookmarkEnd w:id="100"/>
    <w:bookmarkStart w:id="131"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1">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2">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3">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4">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5">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6">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7">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8">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9">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0">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1">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2">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3">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4">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5">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6">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7">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8">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9">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0">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1">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2">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3">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4">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5">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6">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7">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8">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9">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0">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31"/>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8" Type="http://schemas.openxmlformats.org/officeDocument/2006/relationships/image" Target="media/rId18.png"/><Relationship Id="rId67" Type="http://schemas.openxmlformats.org/officeDocument/2006/relationships/image" Target="media/rId67.png"/><Relationship Id="rId82" Type="http://schemas.openxmlformats.org/officeDocument/2006/relationships/image" Target="media/rId82.png"/><Relationship Id="rId87" Type="http://schemas.openxmlformats.org/officeDocument/2006/relationships/image" Target="media/rId87.png"/><Relationship Id="rId92" Type="http://schemas.openxmlformats.org/officeDocument/2006/relationships/image" Target="media/rId92.png"/><Relationship Id="rId95" Type="http://schemas.openxmlformats.org/officeDocument/2006/relationships/image" Target="media/rId95.png"/><Relationship Id="rId30" Type="http://schemas.openxmlformats.org/officeDocument/2006/relationships/image" Target="media/rId30.png"/><Relationship Id="rId36" Type="http://schemas.openxmlformats.org/officeDocument/2006/relationships/image" Target="media/rId36.png"/><Relationship Id="rId39" Type="http://schemas.openxmlformats.org/officeDocument/2006/relationships/image" Target="media/rId39.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56" Type="http://schemas.openxmlformats.org/officeDocument/2006/relationships/image" Target="media/rId56.png"/><Relationship Id="rId63" Type="http://schemas.openxmlformats.org/officeDocument/2006/relationships/image" Target="media/rId63.png"/><Relationship Id="rId114" Type="http://schemas.openxmlformats.org/officeDocument/2006/relationships/hyperlink" Target="https://aclanthology.org/2021.acl-long.188/" TargetMode="External"/><Relationship Id="rId113" Type="http://schemas.openxmlformats.org/officeDocument/2006/relationships/hyperlink" Target="https://aclanthology.org/2021.eacl-main.20/" TargetMode="External"/><Relationship Id="rId115" Type="http://schemas.openxmlformats.org/officeDocument/2006/relationships/hyperlink" Target="https://aclanthology.org/2021.emnlp-main.361/" TargetMode="External"/><Relationship Id="rId112" Type="http://schemas.openxmlformats.org/officeDocument/2006/relationships/hyperlink" Target="https://aclanthology.org/2021.emnlp-main.362/" TargetMode="External"/><Relationship Id="rId125"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7"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8" Type="http://schemas.openxmlformats.org/officeDocument/2006/relationships/hyperlink" Target="https://aclanthology.org/2023.wassa-1.3/" TargetMode="External"/><Relationship Id="rId129" Type="http://schemas.openxmlformats.org/officeDocument/2006/relationships/hyperlink" Target="https://aclanthology.org/2024.eacl-long.167/" TargetMode="External"/><Relationship Id="rId130" Type="http://schemas.openxmlformats.org/officeDocument/2006/relationships/hyperlink" Target="https://aclanthology.org/2024.findings-naacl.246/" TargetMode="External"/><Relationship Id="rId119"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24" Type="http://schemas.openxmlformats.org/officeDocument/2006/relationships/hyperlink" Target="https://doi.org/10.1016/j.compedu.2020.103965"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3" Type="http://schemas.openxmlformats.org/officeDocument/2006/relationships/hyperlink" Target="https://doi.org/10.1186/s41039-018-0073-0" TargetMode="External"/><Relationship Id="rId120" Type="http://schemas.openxmlformats.org/officeDocument/2006/relationships/hyperlink" Target="https://doi.org/10.3102/003465430298487" TargetMode="External"/><Relationship Id="rId126"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aclanthology.org/2021.acl-long.188/" TargetMode="External"/><Relationship Id="rId113" Type="http://schemas.openxmlformats.org/officeDocument/2006/relationships/hyperlink" Target="https://aclanthology.org/2021.eacl-main.20/" TargetMode="External"/><Relationship Id="rId115" Type="http://schemas.openxmlformats.org/officeDocument/2006/relationships/hyperlink" Target="https://aclanthology.org/2021.emnlp-main.361/" TargetMode="External"/><Relationship Id="rId112" Type="http://schemas.openxmlformats.org/officeDocument/2006/relationships/hyperlink" Target="https://aclanthology.org/2021.emnlp-main.362/" TargetMode="External"/><Relationship Id="rId125"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7"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8" Type="http://schemas.openxmlformats.org/officeDocument/2006/relationships/hyperlink" Target="https://aclanthology.org/2023.wassa-1.3/" TargetMode="External"/><Relationship Id="rId129" Type="http://schemas.openxmlformats.org/officeDocument/2006/relationships/hyperlink" Target="https://aclanthology.org/2024.eacl-long.167/" TargetMode="External"/><Relationship Id="rId130" Type="http://schemas.openxmlformats.org/officeDocument/2006/relationships/hyperlink" Target="https://aclanthology.org/2024.findings-naacl.246/" TargetMode="External"/><Relationship Id="rId119"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24" Type="http://schemas.openxmlformats.org/officeDocument/2006/relationships/hyperlink" Target="https://doi.org/10.1016/j.compedu.2020.103965"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3" Type="http://schemas.openxmlformats.org/officeDocument/2006/relationships/hyperlink" Target="https://doi.org/10.1186/s41039-018-0073-0" TargetMode="External"/><Relationship Id="rId120" Type="http://schemas.openxmlformats.org/officeDocument/2006/relationships/hyperlink" Target="https://doi.org/10.3102/003465430298487" TargetMode="External"/><Relationship Id="rId126"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2026-06-04T14:02:17Z</dcterms:created>
  <dcterms:modified xsi:type="dcterms:W3CDTF">2026-06-04T14:02:17Z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