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Georgia" w:hAnsi="Georgia"/>
          <w:b w:val="0"/>
          <w:i/>
          <w:sz w:val="20"/>
        </w:rPr>
        <w:t xml:space="preserve">Alexander Apartsin</w:t>
      </w:r>
      <w:r>
        <w:rPr>
          <w:rFonts w:ascii="Georgia" w:hAnsi="Georgia"/>
          <w:b w:val="0"/>
          <w:i/>
          <w:sz w:val="20"/>
          <w:vertAlign w:val="superscript"/>
        </w:rPr>
        <w:t xml:space="preserve">1</w:t>
      </w:r>
      <w:r>
        <w:rPr>
          <w:rFonts w:ascii="Georgia" w:hAnsi="Georgia"/>
          <w:b w:val="0"/>
          <w:i/>
          <w:sz w:val="20"/>
        </w:rPr>
        <w:t xml:space="preserve">,</w:t>
      </w:r>
      <w:r>
        <w:rPr>
          <w:rFonts w:ascii="Georgia" w:hAnsi="Georgia"/>
          <w:b w:val="0"/>
          <w:i/>
          <w:sz w:val="20"/>
        </w:rPr>
        <w:t xml:space="preserve"> </w:t>
      </w:r>
      <w:r>
        <w:rPr>
          <w:rFonts w:ascii="Georgia" w:hAnsi="Georgia"/>
          <w:b w:val="0"/>
          <w:i/>
          <w:sz w:val="20"/>
        </w:rPr>
        <w:t xml:space="preserve">Yehudit Aperstein</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Holon Institute of Technology, Israel  ·  </w:t>
      </w:r>
      <w:r>
        <w:rPr>
          <w:rFonts w:ascii="Georgia" w:hAnsi="Georgia"/>
          <w:b w:val="0"/>
          <w:i/>
          <w:sz w:val="20"/>
          <w:vertAlign w:val="superscript"/>
        </w:rPr>
        <w:t xml:space="preserve">2</w:t>
      </w:r>
      <w:r>
        <w:rPr>
          <w:rFonts w:ascii="Georgia" w:hAnsi="Georgia"/>
          <w:b w:val="0"/>
          <w:i/>
          <w:sz w:val="20"/>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have</w:t>
      </w:r>
      <w:r>
        <w:t xml:space="preserve"> </w:t>
      </w:r>
      <w:r>
        <w:rPr>
          <w:i/>
          <w:iCs/>
        </w:rPr>
        <w:t xml:space="preserve">leaked into</w:t>
      </w:r>
      <w:r>
        <w:rPr>
          <w:i/>
          <w:iCs/>
        </w:rPr>
        <w:t xml:space="preserve"> </w:t>
      </w:r>
      <w:r>
        <w:rPr>
          <w:i/>
          <w:iCs/>
        </w:rPr>
        <w:t xml:space="preserve">pretraining</w:t>
      </w:r>
      <w:r>
        <w:t xml:space="preserve"> </w:t>
      </w:r>
      <w:r>
        <w:t xml:space="preserve">and are recalled rather than solved. We present</w:t>
      </w:r>
      <w:r>
        <w:t xml:space="preserve"> </w:t>
      </w:r>
      <w:r>
        <w:rPr>
          <w:b/>
          <w:bCs/>
        </w:rPr>
        <w:t xml:space="preserve">CoEval</w:t>
      </w:r>
      <w:r>
        <w:t xml:space="preserve">, an open framework that</w:t>
      </w:r>
      <w:r>
        <w:t xml:space="preserve"> </w:t>
      </w:r>
      <w:r>
        <w:t xml:space="preserve">supplies a trustworthy, task-specific signal through</w:t>
      </w:r>
      <w:r>
        <w:t xml:space="preserve"> </w:t>
      </w:r>
      <w:r>
        <w:rPr>
          <w:i/>
          <w:iCs/>
        </w:rPr>
        <w:t xml:space="preserve">ensemble self-evaluation</w:t>
      </w:r>
      <w:r>
        <w:t xml:space="preserve">: from a task or domain</w:t>
      </w:r>
      <w:r>
        <w:t xml:space="preserve"> </w:t>
      </w:r>
      <w:r>
        <w:t xml:space="preserve">description, a 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 fresh, contamination-free benchmark, answer it, and score one another, with no human</w:t>
      </w:r>
      <w:r>
        <w:t xml:space="preserve"> </w:t>
      </w:r>
      <w:r>
        <w:t xml:space="preserve">labels or raters. Because every model also answers as a student, the responses are the data that weight each question</w:t>
      </w:r>
      <w:r>
        <w:t xml:space="preserve"> </w:t>
      </w:r>
      <w:r>
        <w:t xml:space="preserve">by its discriminative power and each judge by its consensus with the panel. Where ground truth exists, CoEval</w:t>
      </w:r>
      <w:r>
        <w:t xml:space="preserve"> </w:t>
      </w:r>
      <w:r>
        <w:t xml:space="preserve">recovers the true ranking and tracks objective correctness at</w:t>
      </w:r>
      <w:r>
        <w:t xml:space="preserve"> </w:t>
      </w:r>
      <m:oMath>
        <m:r>
          <m:t>ρ</m:t>
        </m:r>
        <m:r>
          <m:rPr>
            <m:sty m:val="p"/>
          </m:rPr>
          <m:t>=</m:t>
        </m:r>
        <m:r>
          <m:t>0.86</m:t>
        </m:r>
      </m:oMath>
      <w:r>
        <w:t xml:space="preserve">, and the weighting recovers the gold</w:t>
      </w:r>
      <w:r>
        <w:t xml:space="preserve"> </w:t>
      </w:r>
      <w:r>
        <w:t xml:space="preserve">ranking of thirteen models at Spearman</w:t>
      </w:r>
      <w:r>
        <w:t xml:space="preserve"> </w:t>
      </w:r>
      <m:oMath>
        <m:r>
          <m:t>0.95</m:t>
        </m:r>
      </m:oMath>
      <w:r>
        <w:t xml:space="preserve">; the panel also agrees with human judgments on standard</w:t>
      </w:r>
      <w:r>
        <w:t xml:space="preserve"> </w:t>
      </w:r>
      <w:r>
        <w:t xml:space="preserve">meta-evaluation benchmarks (SummEval, LLMBar), matching the best single judge without a label-oracle to select it. Reliability comes from panel</w:t>
      </w:r>
      <w:r>
        <w:t xml:space="preserve"> </w:t>
      </w:r>
      <w:r>
        <w:rPr>
          <w:i/>
          <w:iCs/>
        </w:rPr>
        <w:t xml:space="preserve">composition</w:t>
      </w:r>
      <w:r>
        <w:t xml:space="preserve">, not size: this</w:t>
      </w:r>
      <w:r>
        <w:t xml:space="preserve"> </w:t>
      </w:r>
      <w:r>
        <w:t xml:space="preserve">label-free weighting zeroes out broken judges and down-weights saturated questions, so neither distorts the ranking.</w:t>
      </w:r>
      <w:r>
        <w:t xml:space="preserve"> </w:t>
      </w:r>
      <w:r>
        <w:t xml:space="preserve">Generated items show</w:t>
      </w:r>
      <w:r>
        <w:t xml:space="preserve"> </w:t>
      </w:r>
      <w:r>
        <w:rPr>
          <w:i/>
          <w:iCs/>
        </w:rPr>
        <w:t xml:space="preserve">zero</w:t>
      </w:r>
      <w:r>
        <w:t xml:space="preserve"> </w:t>
      </w:r>
      <w:r>
        <w:t xml:space="preserve">verbatim overlap with five public benchmarks, the panel cancels verbosity bias and</w:t>
      </w:r>
      <w:r>
        <w:t xml:space="preserve"> </w:t>
      </w:r>
      <w:r>
        <w:t xml:space="preserve">precludes same-family self-preference, and rankings are</w:t>
      </w:r>
      <w:r>
        <w:t xml:space="preserve"> </w:t>
      </w:r>
      <w:r>
        <w:rPr>
          <w:i/>
          <w:iCs/>
        </w:rPr>
        <w:t xml:space="preserve">domain-specific</w:t>
      </w:r>
      <w:r>
        <w:t xml:space="preserve">: three different models top four</w:t>
      </w:r>
      <w:r>
        <w:t xml:space="preserve"> </w:t>
      </w:r>
      <w:r>
        <w:t xml:space="preserve">de-novo domains, so a generic leaderboard misdirects most practitioners. The same pipeline reruns on each model</w:t>
      </w:r>
      <w:r>
        <w:t xml:space="preserve"> </w:t>
      </w:r>
      <w:r>
        <w:t xml:space="preserve">release, giving any team a contamination-free leaderboard for its application.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selecting a pretrained language model, or evaluating a fine-tuned one, for a specific application</w:t>
      </w:r>
      <w:r>
        <w:t xml:space="preserve"> </w:t>
      </w:r>
      <w:r>
        <w:t xml:space="preserve">(summarizing clinical notes, answering over an internal knowledge base, triaging support tickets) faces a deceptively</w:t>
      </w:r>
      <w:r>
        <w:t xml:space="preserve"> </w:t>
      </w:r>
      <w:r>
        <w:t xml:space="preserve">simple question:</w:t>
      </w:r>
      <w:r>
        <w:t xml:space="preserve"> </w:t>
      </w:r>
      <w:r>
        <w:rPr>
          <w:i/>
          <w:iCs/>
        </w:rPr>
        <w:t xml:space="preserve">which model is best for my use case?</w:t>
      </w:r>
      <w:r>
        <w:t xml:space="preserve"> </w:t>
      </w:r>
      <w:r>
        <w:t xml:space="preserve">Answering it well needs an evaluation set that reflects</w:t>
      </w:r>
      <w:r>
        <w:t xml:space="preserve"> </w:t>
      </w:r>
      <w:r>
        <w:t xml:space="preserve">that use case, and the static, human-curated benchmarks that dominate LLM evaluation make this hard in three ways. They</w:t>
      </w:r>
      <w:r>
        <w:t xml:space="preserve"> </w:t>
      </w:r>
      <w:r>
        <w:t xml:space="preserve">are</w:t>
      </w:r>
      <w:r>
        <w:t xml:space="preserve"> </w:t>
      </w:r>
      <w:r>
        <w:rPr>
          <w:i/>
          <w:iCs/>
        </w:rPr>
        <w:t xml:space="preserve">non-extensible</w:t>
      </w:r>
      <w:r>
        <w:t xml:space="preserve"> </w:t>
      </w:r>
      <w:r>
        <w:t xml:space="preserve">(covering a new domain or difficulty band needs fresh, slow annotation, and for a</w:t>
      </w:r>
      <w:r>
        <w:t xml:space="preserve"> </w:t>
      </w:r>
      <w:r>
        <w:t xml:space="preserve">proprietary domain the data may not exist at all);</w:t>
      </w:r>
      <w:r>
        <w:t xml:space="preserve"> </w:t>
      </w:r>
      <w:r>
        <w:rPr>
          <w:i/>
          <w:iCs/>
        </w:rPr>
        <w:t xml:space="preserve">contamination-prone</w:t>
      </w:r>
      <w:r>
        <w:t xml:space="preserve"> </w:t>
      </w:r>
      <w:r>
        <w:t xml:space="preserve">(public items leak into pretraining</w:t>
      </w:r>
      <w:r>
        <w:t xml:space="preserve"> </w:t>
      </w:r>
      <w:r>
        <w:t xml:space="preserve">corpora, so a 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 and</w:t>
      </w:r>
      <w:r>
        <w:t xml:space="preserve"> </w:t>
      </w:r>
      <w:r>
        <w:rPr>
          <w:i/>
          <w:iCs/>
        </w:rPr>
        <w:t xml:space="preserve">generic</w:t>
      </w:r>
      <w:r>
        <w:t xml:space="preserve"> </w:t>
      </w:r>
      <w:r>
        <w:t xml:space="preserve">(an average-case distribution rarely matches the inputs, scoring criteria,</w:t>
      </w:r>
      <w:r>
        <w:t xml:space="preserve"> </w:t>
      </w:r>
      <w:r>
        <w:t xml:space="preserve">or edge cases of a particular system). When a practitioner has neither task-specific labeled data</w:t>
      </w:r>
      <w:r>
        <w:t xml:space="preserve"> </w:t>
      </w:r>
      <w:r>
        <w:rPr>
          <w:i/>
          <w:iCs/>
        </w:rPr>
        <w:t xml:space="preserve">nor</w:t>
      </w:r>
      <w:r>
        <w:t xml:space="preserve"> </w:t>
      </w:r>
      <w:r>
        <w:t xml:space="preserve">a</w:t>
      </w:r>
      <w:r>
        <w:t xml:space="preserve"> </w:t>
      </w:r>
      <w:r>
        <w:t xml:space="preserve">benchmark they can trust, they are stuck.</w:t>
      </w:r>
      <w:r>
        <w:t xml:space="preserve"> </w:t>
      </w:r>
      <w:r>
        <w:rPr>
          <w:b/>
          <w:bCs/>
        </w:rPr>
        <w:t xml:space="preserve">CoEval</w:t>
      </w:r>
      <w:r>
        <w:t xml:space="preserve"> </w:t>
      </w:r>
      <w:r>
        <w:t xml:space="preserve">is built for exactly this situation: it generates a</w:t>
      </w:r>
      <w:r>
        <w:t xml:space="preserve"> </w:t>
      </w:r>
      <w:r>
        <w:t xml:space="preserve">fresh, domain-targeted evaluation from a task description and ranks candidate models on it, with no labels and no</w:t>
      </w:r>
      <w:r>
        <w:t xml:space="preserve"> </w:t>
      </w:r>
      <w:r>
        <w:t xml:space="preserve">contaminated items.</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 scoring,</w:t>
      </w:r>
      <w:r>
        <w:t xml:space="preserve"> </w:t>
      </w:r>
      <w:r>
        <w:t xml:space="preserve">grading free-form responses against a rubric at a fraction of human cost, but a single judge is not a neutral</w:t>
      </w:r>
      <w:r>
        <w:t xml:space="preserve"> </w:t>
      </w:r>
      <w:r>
        <w:t xml:space="preserve">instrument: judges exhibit positional,</w:t>
      </w:r>
      <w:r>
        <w:t xml:space="preserve"> </w:t>
      </w:r>
      <w:r>
        <w:rPr>
          <w:i/>
          <w:iCs/>
        </w:rPr>
        <w:t xml:space="preserve">verbosity</w:t>
      </w:r>
      <w:r>
        <w:t xml:space="preserve"> </w:t>
      </w:r>
      <w:r>
        <w:t xml:space="preserve">[</w:t>
      </w:r>
      <w:hyperlink w:anchor="r8">
        <w:r>
          <w:rPr>
            <w:rStyle w:val="Hyperlink"/>
          </w:rPr>
          <w:t xml:space="preserve">8</w:t>
        </w:r>
      </w:hyperlink>
      <w:r>
        <w:t xml:space="preserve">], and</w:t>
      </w:r>
      <w:r>
        <w:t xml:space="preserve"> </w:t>
      </w:r>
      <w:r>
        <w:rPr>
          <w:i/>
          <w:iCs/>
        </w:rPr>
        <w:t xml:space="preserve">self-preference</w:t>
      </w:r>
      <w:r>
        <w:t xml:space="preserve"> </w:t>
      </w:r>
      <w:r>
        <w:t xml:space="preserve">biases,</w:t>
      </w:r>
      <w:r>
        <w:t xml:space="preserve"> </w:t>
      </w:r>
      <w:r>
        <w:t xml:space="preserve">and a measurement built on one biased instrument inherits its distortions.</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for</w:t>
      </w:r>
      <w:r>
        <w:t xml:space="preserve"> </w:t>
      </w:r>
      <w:r>
        <w:rPr>
          <w:i/>
          <w:iCs/>
        </w:rPr>
        <w:t xml:space="preserve">ensemble self-evaluation</w:t>
      </w:r>
      <w:r>
        <w:t xml:space="preserve">: a</w:t>
      </w:r>
      <w:r>
        <w:t xml:space="preserve"> </w:t>
      </w:r>
      <w:r>
        <w:t xml:space="preserve">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w:t>
      </w:r>
      <w:r>
        <w:t xml:space="preserve"> </w:t>
      </w:r>
      <w:r>
        <w:t xml:space="preserve">fresh, contamination-free benchmark, answer it, and score one another. Because every model also answers as a student,</w:t>
      </w:r>
      <w:r>
        <w:t xml:space="preserve"> </w:t>
      </w:r>
      <w:r>
        <w:t xml:space="preserve">the responses provide the data that weight each question by its discriminative power and each judge by its consensus</w:t>
      </w:r>
      <w:r>
        <w:t xml:space="preserve"> </w:t>
      </w:r>
      <w:r>
        <w:t xml:space="preserve">with the panel. CoEval contributes:</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for per-domain ranking.</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re-runs on every model release, giving a team a renewable, application-specific</w:t>
      </w:r>
      <w:r>
        <w:t xml:space="preserve"> </w:t>
      </w:r>
      <w:r>
        <w:t xml:space="preserve">benchmark. Per-domain ranking carries real signal: across four de-novo domains three different models take first</w:t>
      </w:r>
      <w:r>
        <w:t xml:space="preserve"> </w:t>
      </w:r>
      <w:r>
        <w:t xml:space="preserve">place (Appendix D), so CoEval directs each practitioner to the best model for their own use case where a</w:t>
      </w:r>
      <w:r>
        <w:t xml:space="preserve"> </w:t>
      </w:r>
      <w:r>
        <w:t xml:space="preserve">single generic leaderboard would not.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unifies all three: contamination-free, label-free, domain-targeted generation with a</w:t>
      </w:r>
      <w:r>
        <w:t xml:space="preserve"> </w:t>
      </w:r>
      <w:r>
        <w:t xml:space="preserve">reliability-controlled cross-family judge ensemble, in a single framework for the no-data, untrusted-benchmark regime.</w:t>
      </w:r>
      <w:r>
        <w:t xml:space="preserve"> </w:t>
      </w:r>
      <w:r>
        <w:t xml:space="preserve">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 preference and</w:t>
      </w:r>
      <w:r>
        <w:t xml:space="preserve"> </w:t>
      </w:r>
      <w:r>
        <w:t xml:space="preserve">documented its biases. G-Eval [</w:t>
      </w:r>
      <w:hyperlink w:anchor="r2">
        <w:r>
          <w:rPr>
            <w:rStyle w:val="Hyperlink"/>
          </w:rPr>
          <w:t xml:space="preserve">2</w:t>
        </w:r>
      </w:hyperlink>
      <w:r>
        <w:t xml:space="preserve">] scores against a user-supplied rubric with chain-of-thought;</w:t>
      </w:r>
      <w:r>
        <w:t xml:space="preserve"> </w:t>
      </w:r>
      <w:r>
        <w:t xml:space="preserve">Prometheus 2 [</w:t>
      </w:r>
      <w:hyperlink w:anchor="r3">
        <w:r>
          <w:rPr>
            <w:rStyle w:val="Hyperlink"/>
          </w:rPr>
          <w:t xml:space="preserve">3</w:t>
        </w:r>
      </w:hyperlink>
      <w:r>
        <w:t xml:space="preserve">], PandaLM [</w:t>
      </w:r>
      <w:hyperlink w:anchor="r34">
        <w:r>
          <w:rPr>
            <w:rStyle w:val="Hyperlink"/>
          </w:rPr>
          <w:t xml:space="preserve">34</w:t>
        </w:r>
      </w:hyperlink>
      <w:r>
        <w:t xml:space="preserve">], and JudgeLM [</w:t>
      </w:r>
      <w:hyperlink w:anchor="r35">
        <w:r>
          <w:rPr>
            <w:rStyle w:val="Hyperlink"/>
          </w:rPr>
          <w:t xml:space="preserve">35</w:t>
        </w:r>
      </w:hyperlink>
      <w:r>
        <w:t xml:space="preserve">] train</w:t>
      </w:r>
      <w:r>
        <w:t xml:space="preserve"> </w:t>
      </w:r>
      <w:r>
        <w:t xml:space="preserve">dedicated open evaluators. These are</w:t>
      </w:r>
      <w:r>
        <w:t xml:space="preserve"> </w:t>
      </w:r>
      <w:r>
        <w:rPr>
          <w:i/>
          <w:iCs/>
        </w:rPr>
        <w:t xml:space="preserve">single-judge</w:t>
      </w:r>
      <w:r>
        <w:t xml:space="preserve">: they need a user-supplied rubric and inherit one model's</w:t>
      </w:r>
      <w:r>
        <w:t xml:space="preserve"> </w:t>
      </w:r>
      <w:r>
        <w:t xml:space="preserve">biases. CoEval instead generates the rubric from the task definition and aggregates across a diverse panel. FLAMe</w:t>
      </w:r>
      <w:r>
        <w:t xml:space="preserve"> </w:t>
      </w:r>
      <w:r>
        <w:t xml:space="preserve">[</w:t>
      </w:r>
      <w:hyperlink w:anchor="r4">
        <w:r>
          <w:rPr>
            <w:rStyle w:val="Hyperlink"/>
          </w:rPr>
          <w:t xml:space="preserve">4</w:t>
        </w:r>
      </w:hyperlink>
      <w:r>
        <w:t xml:space="preserve">] and JudgeBench [</w:t>
      </w:r>
      <w:hyperlink w:anchor="r6">
        <w:r>
          <w:rPr>
            <w:rStyle w:val="Hyperlink"/>
          </w:rPr>
          <w:t xml:space="preserve">6</w:t>
        </w:r>
      </w:hyperlink>
      <w:r>
        <w:t xml:space="preserve">] study judge reliability and BiGGen-Bench</w:t>
      </w:r>
      <w:r>
        <w:t xml:space="preserve"> </w:t>
      </w:r>
      <w:r>
        <w:t xml:space="preserve">[</w:t>
      </w:r>
      <w:hyperlink w:anchor="r7">
        <w:r>
          <w:rPr>
            <w:rStyle w:val="Hyperlink"/>
          </w:rPr>
          <w:t xml:space="preserve">7</w:t>
        </w:r>
      </w:hyperlink>
      <w:r>
        <w:t xml:space="preserve">] introduces instance-specific criteria; CoEval is complementary, adding cross-family aggregation</w:t>
      </w:r>
      <w:r>
        <w:t xml:space="preserve"> </w:t>
      </w:r>
      <w:r>
        <w:t xml:space="preserve">and live agreement monitoring on top of any such judges.</w:t>
      </w:r>
    </w:p>
    <w:p>
      <w:pPr>
        <w:pStyle w:val="BodyText"/>
        <w:jc w:val="both"/>
        <w:keepNext w:val="0"/>
        <w:keepLines w:val="0"/>
        <w:widowControl w:val="1"/>
      </w:pPr>
      <w:r>
        <w:t xml:space="preserve">Closest to our judging design,</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shows a panel of</w:t>
      </w:r>
      <w:r>
        <w:t xml:space="preserve"> </w:t>
      </w:r>
      <w:r>
        <w:t xml:space="preserve">smaller judges can rival a single large judge while reducing bias and cost. CoEval extends this in three ways: it</w:t>
      </w:r>
      <w:r>
        <w:t xml:space="preserve"> </w:t>
      </w:r>
      <w:r>
        <w:t xml:space="preserve">couples the panel to attribute-controlled, contamination-free</w:t>
      </w:r>
      <w:r>
        <w:t xml:space="preserve"> </w:t>
      </w:r>
      <w:r>
        <w:rPr>
          <w:i/>
          <w:iCs/>
        </w:rPr>
        <w:t xml:space="preserve">generation</w:t>
      </w:r>
      <w:r>
        <w:t xml:space="preserve"> </w:t>
      </w:r>
      <w:r>
        <w:t xml:space="preserve">rather than scoring a fixed set; it</w:t>
      </w:r>
      <w:r>
        <w:t xml:space="preserve"> </w:t>
      </w:r>
      <w:r>
        <w:t xml:space="preserve">enforces</w:t>
      </w:r>
      <w:r>
        <w:t xml:space="preserve"> </w:t>
      </w:r>
      <w:r>
        <w:rPr>
          <w:i/>
          <w:iCs/>
        </w:rPr>
        <w:t xml:space="preserve">cross-family</w:t>
      </w:r>
      <w:r>
        <w:t xml:space="preserve"> </w:t>
      </w:r>
      <w:r>
        <w:t xml:space="preserve">composition and reports that composition dominates size; and it adds teacher/student/judge</w:t>
      </w:r>
      <w:r>
        <w:t xml:space="preserve"> </w:t>
      </w:r>
      <w:r>
        <w:t xml:space="preserve">role separation with self-preference monitoring. ChatEval [</w:t>
      </w:r>
      <w:hyperlink w:anchor="r21">
        <w:r>
          <w:rPr>
            <w:rStyle w:val="Hyperlink"/>
          </w:rPr>
          <w:t xml:space="preserve">21</w:t>
        </w:r>
      </w:hyperlink>
      <w:r>
        <w:t xml:space="preserve">] and meta-judge frameworks</w:t>
      </w:r>
      <w:r>
        <w:t xml:space="preserve"> </w:t>
      </w:r>
      <w:r>
        <w:t xml:space="preserve">[</w:t>
      </w:r>
      <w:hyperlink w:anchor="r26">
        <w:r>
          <w:rPr>
            <w:rStyle w:val="Hyperlink"/>
          </w:rPr>
          <w:t xml:space="preserve">26</w:t>
        </w:r>
      </w:hyperlink>
      <w:r>
        <w:t xml:space="preserve">] improve reliability through intra-pool deliberation; CoEval instead rotates models</w:t>
      </w:r>
      <w:r>
        <w:t xml:space="preserve"> </w:t>
      </w:r>
      <w:r>
        <w:rPr>
          <w:i/>
          <w:iCs/>
        </w:rPr>
        <w:t xml:space="preserve">across vendors</w:t>
      </w:r>
      <w:r>
        <w:t xml:space="preserve"> </w:t>
      </w:r>
      <w:r>
        <w:t xml:space="preserve">for cross-family bias cancellation.</w:t>
      </w:r>
    </w:p>
    <w:p>
      <w:pPr>
        <w:pStyle w:val="BodyText"/>
        <w:jc w:val="both"/>
        <w:keepNext w:val="0"/>
        <w:keepLines w:val="0"/>
        <w:widowControl w:val="1"/>
      </w:pPr>
      <w:r>
        <w:t xml:space="preserve">The cross-family design is motivated by evidence that judge–generator relatedness is a 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a judge sharing a model or vendor family with the generator</w:t>
      </w:r>
      <w:r>
        <w:t xml:space="preserve"> </w:t>
      </w:r>
      <w:r>
        <w:t xml:space="preserve">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w:t>
      </w:r>
      <w:r>
        <w:t xml:space="preserve"> </w:t>
      </w:r>
      <w:r>
        <w:t xml:space="preserve">Self-preference has been characterized mechanistically [</w:t>
      </w:r>
      <w:hyperlink w:anchor="r18">
        <w:r>
          <w:rPr>
            <w:rStyle w:val="Hyperlink"/>
          </w:rPr>
          <w:t xml:space="preserve">18</w:t>
        </w:r>
      </w:hyperlink>
      <w:r>
        <w:t xml:space="preserve">] and partly attributed to capability</w:t>
      </w:r>
      <w:r>
        <w:t xml:space="preserve"> </w:t>
      </w:r>
      <w:r>
        <w:t xml:space="preserve">rather than bias [</w:t>
      </w:r>
      <w:hyperlink w:anchor="r24">
        <w:r>
          <w:rPr>
            <w:rStyle w:val="Hyperlink"/>
          </w:rPr>
          <w:t xml:space="preserve">24</w:t>
        </w:r>
      </w:hyperlink>
      <w:r>
        <w:t xml:space="preserve">]; broad taxonomies and surveys [</w:t>
      </w:r>
      <w:hyperlink w:anchor="r17">
        <w:r>
          <w:rPr>
            <w:rStyle w:val="Hyperlink"/>
          </w:rPr>
          <w:t xml:space="preserve">17</w:t>
        </w:r>
      </w:hyperlink>
      <w:r>
        <w:t xml:space="preserve">,</w:t>
      </w:r>
      <w:r>
        <w:t xml:space="preserve"> </w:t>
      </w:r>
      <w:hyperlink w:anchor="r19">
        <w:r>
          <w:rPr>
            <w:rStyle w:val="Hyperlink"/>
          </w:rPr>
          <w:t xml:space="preserve">19</w:t>
        </w:r>
      </w:hyperlink>
      <w:r>
        <w:t xml:space="preserve">,</w:t>
      </w:r>
      <w:r>
        <w:t xml:space="preserve"> </w:t>
      </w:r>
      <w:hyperlink w:anchor="r20">
        <w:r>
          <w:rPr>
            <w:rStyle w:val="Hyperlink"/>
          </w:rPr>
          <w:t xml:space="preserve">20</w:t>
        </w:r>
      </w:hyperlink>
      <w:r>
        <w:t xml:space="preserve">] catalogue position, verbosity, and self-enhancement biases.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individual-judge biases, CoEval makes cross-family composition a</w:t>
      </w:r>
      <w:r>
        <w:t xml:space="preserve"> </w:t>
      </w:r>
      <w:r>
        <w:rPr>
          <w:i/>
          <w:iCs/>
        </w:rPr>
        <w:t xml:space="preserve">design constraint</w:t>
      </w:r>
      <w:r>
        <w:t xml:space="preserve"> </w:t>
      </w:r>
      <w:r>
        <w:t xml:space="preserve">that cancels same-family preference at aggregation, paired with contamination-free generation, so both items and judges</w:t>
      </w:r>
      <w:r>
        <w:t xml:space="preserve"> </w:t>
      </w:r>
      <w:r>
        <w:t xml:space="preserve">are bias-hardened.</w:t>
      </w:r>
    </w:p>
    <w:p>
      <w:pPr>
        <w:pStyle w:val="BodyText"/>
        <w:jc w:val="both"/>
        <w:keepNext w:val="0"/>
        <w:keepLines w:val="0"/>
        <w:widowControl w:val="1"/>
      </w:pPr>
      <w:r>
        <w:t xml:space="preserve">Inferring rater reliability from inter-rater agreement without ground truth dates to</w:t>
      </w:r>
      <w:r>
        <w:t xml:space="preserve"> </w:t>
      </w:r>
      <w:r>
        <w:rPr>
          <w:i/>
          <w:iCs/>
        </w:rPr>
        <w:t xml:space="preserve">Dawid and Skene</w:t>
      </w:r>
      <w:r>
        <w:t xml:space="preserve"> </w:t>
      </w:r>
      <w:r>
        <w:t xml:space="preserve">[</w:t>
      </w:r>
      <w:hyperlink w:anchor="r33">
        <w:r>
          <w:rPr>
            <w:rStyle w:val="Hyperlink"/>
          </w:rPr>
          <w:t xml:space="preserve">33</w:t>
        </w:r>
      </w:hyperlink>
      <w:r>
        <w:t xml:space="preserve">]; CoEval applies this to a vendor-disjoint LLM panel where peer agreement down-weights and</w:t>
      </w:r>
      <w:r>
        <w:t xml:space="preserve"> </w:t>
      </w:r>
      <w:r>
        <w:t xml:space="preserve">diagnoses unreliable judges (Section 5.2). Recent label-free methods learn per-judge reliability jointly with the</w:t>
      </w:r>
      <w:r>
        <w:t xml:space="preserve"> </w:t>
      </w:r>
      <w:r>
        <w:t xml:space="preserve">ranking from pairwise comparisons (judge-aware Bradley–Terry [</w:t>
      </w:r>
      <w:hyperlink w:anchor="r27">
        <w:r>
          <w:rPr>
            <w:rStyle w:val="Hyperlink"/>
          </w:rPr>
          <w:t xml:space="preserve">27</w:t>
        </w:r>
      </w:hyperlink>
      <w:r>
        <w:t xml:space="preserve">], judge-aware ranking</w:t>
      </w:r>
      <w:r>
        <w:t xml:space="preserve"> </w:t>
      </w:r>
      <w:r>
        <w:t xml:space="preserve">[</w:t>
      </w:r>
      <w:hyperlink w:anchor="r29">
        <w:r>
          <w:rPr>
            <w:rStyle w:val="Hyperlink"/>
          </w:rPr>
          <w:t xml:space="preserve">29</w:t>
        </w:r>
      </w:hyperlink>
      <w:r>
        <w:t xml:space="preserve">]) or separate quality from shared confounders [</w:t>
      </w:r>
      <w:hyperlink w:anchor="r28">
        <w:r>
          <w:rPr>
            <w:rStyle w:val="Hyperlink"/>
          </w:rPr>
          <w:t xml:space="preserve">28</w:t>
        </w:r>
      </w:hyperlink>
      <w:r>
        <w:t xml:space="preserve">]. CoEval shares this goal,</w:t>
      </w:r>
      <w:r>
        <w:t xml:space="preserve"> </w:t>
      </w:r>
      <w:r>
        <w:t xml:space="preserve">but its contribution is the</w:t>
      </w:r>
      <w:r>
        <w:t xml:space="preserve"> </w:t>
      </w:r>
      <w:r>
        <w:rPr>
          <w:i/>
          <w:iCs/>
        </w:rPr>
        <w:t xml:space="preserve">integration</w:t>
      </w:r>
      <w:r>
        <w:t xml:space="preserve">: these methods score a fixed, externally-supplied item set as pairwise</w:t>
      </w:r>
      <w:r>
        <w:t xml:space="preserve"> </w:t>
      </w:r>
      <w:r>
        <w:t xml:space="preserve">comparisons from a single-vendor pool, whereas CoEval supplies the items (generated de novo, contamination-free) and</w:t>
      </w:r>
      <w:r>
        <w:t xml:space="preserve"> </w:t>
      </w:r>
      <w:r>
        <w:t xml:space="preserve">scores them as rubric-anchored absolute scores from a</w:t>
      </w:r>
      <w:r>
        <w:t xml:space="preserve"> </w:t>
      </w:r>
      <w:r>
        <w:rPr>
          <w:i/>
          <w:iCs/>
        </w:rPr>
        <w:t xml:space="preserve">vendor-disjoint</w:t>
      </w:r>
      <w:r>
        <w:t xml:space="preserve"> </w:t>
      </w:r>
      <w:r>
        <w:t xml:space="preserve">panel. Owning the whole loop surfaces the</w:t>
      </w:r>
      <w:r>
        <w:t xml:space="preserve"> </w:t>
      </w:r>
      <w:r>
        <w:rPr>
          <w:i/>
          <w:iCs/>
        </w:rPr>
        <w:t xml:space="preserve">judge-choice regret</w:t>
      </w:r>
      <w:r>
        <w:t xml:space="preserve"> </w:t>
      </w:r>
      <w:r>
        <w:t xml:space="preserve">of Section 5.2: a single judge can be anti-correlated with ground truth where the</w:t>
      </w:r>
      <w:r>
        <w:t xml:space="preserve"> </w:t>
      </w:r>
      <w:r>
        <w:t xml:space="preserve">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Automated generators such as AutoBencher [</w:t>
      </w:r>
      <w:hyperlink w:anchor="r9">
        <w:r>
          <w:rPr>
            <w:rStyle w:val="Hyperlink"/>
          </w:rPr>
          <w:t xml:space="preserve">9</w:t>
        </w:r>
      </w:hyperlink>
      <w:r>
        <w:t xml:space="preserve">], BenchAgents [</w:t>
      </w:r>
      <w:hyperlink w:anchor="r10">
        <w:r>
          <w:rPr>
            <w:rStyle w:val="Hyperlink"/>
          </w:rPr>
          <w:t xml:space="preserve">10</w:t>
        </w:r>
      </w:hyperlink>
      <w:r>
        <w:t xml:space="preserve">], and YourBench</w:t>
      </w:r>
      <w:r>
        <w:t xml:space="preserve"> </w:t>
      </w:r>
      <w:r>
        <w:t xml:space="preserve">[</w:t>
      </w:r>
      <w:hyperlink w:anchor="r11">
        <w:r>
          <w:rPr>
            <w:rStyle w:val="Hyperlink"/>
          </w:rPr>
          <w:t xml:space="preserve">11</w:t>
        </w:r>
      </w:hyperlink>
      <w:r>
        <w:t xml:space="preserve">] construct evaluation items without labels, but score with a single judge and no role</w:t>
      </w:r>
      <w:r>
        <w:t xml:space="preserve"> </w:t>
      </w:r>
      <w:r>
        <w:t xml:space="preserve">separation. CoEval adds a cross-family multi-judge layer, explicit teacher/student/judge roles,</w:t>
      </w:r>
      <w:r>
        <w:t xml:space="preserve"> </w:t>
      </w:r>
      <w:r>
        <w:t xml:space="preserve">attribute-</w:t>
      </w:r>
      <w:r>
        <w:rPr>
          <w:i/>
          <w:iCs/>
        </w:rPr>
        <w:t xml:space="preserve">stratified</w:t>
      </w:r>
      <w:r>
        <w:t xml:space="preserve"> </w:t>
      </w:r>
      <w:r>
        <w:t xml:space="preserve">coverage (a per-stratum item floor over declared attribute combinations), and continuous</w:t>
      </w:r>
      <w:r>
        <w:t xml:space="preserve"> </w:t>
      </w:r>
      <w:r>
        <w:t xml:space="preserve">inter-judge agreement monitoring. The contamination motivation is sharpened by GSM1k [</w:t>
      </w:r>
      <w:hyperlink w:anchor="r12">
        <w:r>
          <w:rPr>
            <w:rStyle w:val="Hyperlink"/>
          </w:rPr>
          <w:t xml:space="preserve">12</w:t>
        </w:r>
      </w:hyperlink>
      <w:r>
        <w:t xml:space="preserve">] and recent</w:t>
      </w:r>
      <w:r>
        <w:t xml:space="preserve"> </w:t>
      </w:r>
      <w:r>
        <w:t xml:space="preserve">contamination surveys [</w:t>
      </w:r>
      <w:hyperlink w:anchor="r13">
        <w:r>
          <w:rPr>
            <w:rStyle w:val="Hyperlink"/>
          </w:rPr>
          <w:t xml:space="preserve">13</w:t>
        </w:r>
      </w:hyperlink>
      <w:r>
        <w:t xml:space="preserve">]. Live benchmarks (LiveBench [</w:t>
      </w:r>
      <w:hyperlink w:anchor="r22">
        <w:r>
          <w:rPr>
            <w:rStyle w:val="Hyperlink"/>
          </w:rPr>
          <w:t xml:space="preserve">22</w:t>
        </w:r>
      </w:hyperlink>
      <w:r>
        <w:t xml:space="preserve">], LiveCodeBench</w:t>
      </w:r>
      <w:r>
        <w:t xml:space="preserve"> </w:t>
      </w:r>
      <w:r>
        <w:t xml:space="preserve">[</w:t>
      </w:r>
      <w:hyperlink w:anchor="r23">
        <w:r>
          <w:rPr>
            <w:rStyle w:val="Hyperlink"/>
          </w:rPr>
          <w:t xml:space="preserve">23</w:t>
        </w:r>
      </w:hyperlink>
      <w:r>
        <w:t xml:space="preserve">]) limit leakage by continuously releasing fresh, time-windowed items, but rely on</w:t>
      </w:r>
      <w:r>
        <w:t xml:space="preserve"> </w:t>
      </w:r>
      <w:r>
        <w:t xml:space="preserve">human-curated questions with objective answers and avoid LLM judges; CoEval extends contamination resistance to</w:t>
      </w:r>
      <w:r>
        <w:t xml:space="preserve"> </w:t>
      </w:r>
      <w:r>
        <w:rPr>
          <w:i/>
          <w:iCs/>
        </w:rPr>
        <w:t xml:space="preserve">open-ended, judge-scored</w:t>
      </w:r>
      <w:r>
        <w:t xml:space="preserve"> </w:t>
      </w:r>
      <w:r>
        <w:t xml:space="preserve">tasks through fresh attribute-controlled generation. Closest to our synthesis step,</w:t>
      </w:r>
      <w:r>
        <w:t xml:space="preserve"> </w:t>
      </w:r>
      <w:r>
        <w:t xml:space="preserve">CHASE [</w:t>
      </w:r>
      <w:hyperlink w:anchor="r30">
        <w:r>
          <w:rPr>
            <w:rStyle w:val="Hyperlink"/>
          </w:rPr>
          <w:t xml:space="preserve">30</w:t>
        </w:r>
      </w:hyperlink>
      <w:r>
        <w:t xml:space="preserve">] composes problems bottom-up from verifiable sub-tasks and DataMorgana</w:t>
      </w:r>
      <w:r>
        <w:t xml:space="preserve"> </w:t>
      </w:r>
      <w:r>
        <w:t xml:space="preserve">[</w:t>
      </w:r>
      <w:hyperlink w:anchor="r31">
        <w:r>
          <w:rPr>
            <w:rStyle w:val="Hyperlink"/>
          </w:rPr>
          <w:t xml:space="preserve">31</w:t>
        </w:r>
      </w:hyperlink>
      <w:r>
        <w:t xml:space="preserve">] produces configuration-driven question–answer sets with controllable category</w:t>
      </w:r>
      <w:r>
        <w:t xml:space="preserve"> </w:t>
      </w:r>
      <w:r>
        <w:t xml:space="preserve">distributions; both stop at item generation, whereas CoEval closes the loop to a model</w:t>
      </w:r>
      <w:r>
        <w:t xml:space="preserve"> </w:t>
      </w:r>
      <w:r>
        <w:rPr>
          <w:i/>
          <w:iCs/>
        </w:rPr>
        <w:t xml:space="preserve">ranking</w:t>
      </w:r>
      <w:r>
        <w:t xml:space="preserve"> </w:t>
      </w:r>
      <w:r>
        <w:t xml:space="preserve">with a</w:t>
      </w:r>
      <w:r>
        <w:t xml:space="preserve"> </w:t>
      </w:r>
      <w:r>
        <w:t xml:space="preserve">vendor-disjoint panel and label-free aggregation. A recent static-to-dynamic survey [</w:t>
      </w:r>
      <w:hyperlink w:anchor="r32">
        <w:r>
          <w:rPr>
            <w:rStyle w:val="Hyperlink"/>
          </w:rPr>
          <w:t xml:space="preserve">32</w:t>
        </w:r>
      </w:hyperlink>
      <w:r>
        <w:t xml:space="preserve">] situates</w:t>
      </w:r>
      <w:r>
        <w:t xml:space="preserve"> </w:t>
      </w:r>
      <w:r>
        <w:t xml:space="preserve">this shift; Dynabench [</w:t>
      </w:r>
      <w:hyperlink w:anchor="r14">
        <w:r>
          <w:rPr>
            <w:rStyle w:val="Hyperlink"/>
          </w:rPr>
          <w:t xml:space="preserve">14</w:t>
        </w:r>
      </w:hyperlink>
      <w:r>
        <w:t xml:space="preserve">] renews benchmarks with humans in the loop where CoEval renews without</w:t>
      </w:r>
      <w:r>
        <w:t xml:space="preserve"> </w:t>
      </w:r>
      <w:r>
        <w:t xml:space="preserve">them; domain-specific judge sets [</w:t>
      </w:r>
      <w:hyperlink w:anchor="r25">
        <w:r>
          <w:rPr>
            <w:rStyle w:val="Hyperlink"/>
          </w:rPr>
          <w:t xml:space="preserve">25</w:t>
        </w:r>
      </w:hyperlink>
      <w:r>
        <w:t xml:space="preserve">] target verticals such as medicine and law, which CoEval</w:t>
      </w:r>
      <w:r>
        <w:t xml:space="preserve"> </w:t>
      </w:r>
      <w:r>
        <w:t xml:space="preserve">generates within the same pipeline; and Length-Controlled AlpacaEval [</w:t>
      </w:r>
      <w:hyperlink w:anchor="r8">
        <w:r>
          <w:rPr>
            <w:rStyle w:val="Hyperlink"/>
          </w:rPr>
          <w:t xml:space="preserve">8</w:t>
        </w:r>
      </w:hyperlink>
      <w:r>
        <w:t xml:space="preserve">] debiases verbosity post hoc</w:t>
      </w:r>
      <w:r>
        <w:t xml:space="preserve"> </w:t>
      </w:r>
      <w:r>
        <w:t xml:space="preserve">on a single judge, where CoEval cancels it through panel diversity (Appendix E).</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(Appendix E).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(Appendix E),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pStyle w:val="TableCaption"/>
        <w:spacing w:before="280" w:after="60" w:line="240" w:lineRule="auto"/>
        <w:jc w:val="center"/>
        <w:keepNext/>
        <w:keepLines/>
        <w:widowControl w:val="1"/>
      </w:pPr>
      <w:r>
        <w:rPr>
          <w:b/>
          <w:i/>
        </w:rPr>
        <w:t>Table 1.</w:t>
      </w:r>
      <w:r>
        <w:rPr>
          <w:b w:val="0"/>
          <w:i/>
        </w:rPr>
        <w:t xml:space="preserve"> </w:t>
      </w:r>
      <w:r>
        <w:rPr>
          <w:b w:val="0"/>
          <w:i/>
        </w:rPr>
        <w:t>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5.1 ground truth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SciQ, ARC (exact-match QA)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 claude-sonnet-4, 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191 items / 573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 reliability (5.1 summ. 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code (BLEU), news + text summ. (BERTScore)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claude-haiku, 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 tasks / 900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5.2–5.3, App. 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4-task medium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qwen2.5-1.5b, smollm2-1.7b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7,978 eval.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5.4, 5.6 verticals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drug-interaction, clinical, legal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claude-haiku, gemini-flash,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40 items each</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5.5 contamination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SciQ memorization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exact-match (no LLM judge)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200 memorized / 100 fresh</w:t>
            </w:r>
          </w:p>
        </w:tc>
      </w:tr>
    </w:tbl>
    <w:bookmarkEnd w:id="23"/>
    <w:bookmarkStart w:id="34"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 5.2 and Appendix E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5.3 verifies the second condition</w:t>
      </w:r>
      <w:r>
        <w:t xml:space="preserve"> </w:t>
      </w:r>
      <w:r>
        <w:t xml:space="preserve">directly, that the generated items are</w:t>
      </w:r>
      <w:r>
        <w:t xml:space="preserve"> </w:t>
      </w:r>
      <w:r>
        <w:rPr>
          <w:i/>
          <w:iCs/>
        </w:rPr>
        <w:t xml:space="preserve">contamination-free</w:t>
      </w:r>
      <w:r>
        <w:t xml:space="preserve">. Section 5.4 exercises the complete tool on three custom verticals (drug interaction, clinical, legal) with no labeled data, and Appendix D shows that rankings are domain-specific: across four de-novo domains three different models take first place, so a generic leaderboard misdirects the practitioner that CoEval's per-domain ranking serves.</w:t>
      </w:r>
    </w:p>
    <w:bookmarkStart w:id="27" w:name="X7df2e9e9a901f5ac4e837e696941ee5802047fd"/>
    <w:p>
      <w:pPr>
        <w:pStyle w:val="Heading3"/>
        <w:keepNext/>
        <w:keepLines/>
        <w:widowControl w:val="1"/>
      </w:pPr>
      <w:r>
        <w:t xml:space="preserve">5.1 Judge accuracy: agreement with ground truth and human ratings</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280" w:after="60" w:line="240" w:lineRule="auto"/>
        <w:jc w:val="center"/>
        <w:keepNext/>
        <w:keepLines/>
        <w:widowControl w:val="1"/>
      </w:pPr>
      <w:r>
        <w:rPr>
          <w:b/>
          <w:i/>
        </w:rPr>
        <w:t>Table 2.</w:t>
      </w:r>
      <w:r>
        <w:rPr>
          <w:b w:val="0"/>
          <w:i/>
        </w:rPr>
        <w:t xml:space="preserve"> </w:t>
      </w:r>
      <w:r>
        <w:rPr>
          <w:b w:val="0"/>
          <w:i/>
        </w:rPr>
        <w:t>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CoEval frontier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+0.859</w:t>
            </w:r>
            <w:r>
              <w:rPr>
                <w:rFonts w:ascii="Georgia" w:hAnsi="Georgia"/>
                <w:sz w:val="19"/>
              </w:rPr>
              <w:t xml:space="preserve"> </w:t>
            </w:r>
            <w:r>
              <w:rPr>
                <w:rFonts w:ascii="Georgia" w:hAnsi="Georgia"/>
                <w:sz w:val="19"/>
              </w:rPr>
              <w:t xml:space="preserve">[0.77, 0.94]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gpt-4o (OpenAI)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claude-sonnet-4 (Anthropic)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gemini-2.5-flash (Google)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bl>
    <w:p>
      <w:pPr>
        <w:pStyle w:val="BodyText"/>
        <w:spacing w:before="24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w:t>
      </w:r>
    </w:p>
    <w:p>
      <w:pPr>
        <w:pStyle w:val="BodyText"/>
        <w:jc w:val="both"/>
        <w:keepNext w:val="0"/>
        <w:keepLines w:val="0"/>
        <w:widowControl w:val="1"/>
      </w:pPr>
      <w:r>
        <w:t xml:space="preserve">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cannot be chosen safely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(Appendix E),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0.02, and the order gpt-4o-mini &gt; gpt-3.5-turbo &gt; llama-3.2-3b is reproduced exactly (cf. Table 3).</w:t>
      </w:r>
    </w:p>
    <w:p>
      <w:pPr>
        <w:pStyle w:val="TableCaption"/>
        <w:spacing w:before="280" w:after="60" w:line="240" w:lineRule="auto"/>
        <w:jc w:val="center"/>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0.963 [0.937, 0.984]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0.921 [0.880, 0.958]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0.843 [0.791, 0.895]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0.832</w:t>
            </w:r>
          </w:p>
        </w:tc>
      </w:tr>
    </w:tbl>
    <w:p>
      <w:pPr>
        <w:pStyle w:val="BodyText"/>
        <w:spacing w:before="240"/>
        <w:jc w:val="both"/>
        <w:keepNext w:val="0"/>
        <w:keepLines w:val="0"/>
        <w:widowControl w:val="1"/>
      </w:pPr>
      <w:r>
        <w:rPr>
          <w:b/>
          <w:bCs/>
        </w:rPr>
        <w:t xml:space="preserve">Agreement with human judgments.</w:t>
      </w:r>
      <w:r>
        <w:t xml:space="preserve"> </w:t>
      </w:r>
      <w:r>
        <w:t xml:space="preserve">The validation above anchors the judge to objective exact-match</w:t>
      </w:r>
      <w:r>
        <w:t xml:space="preserve"> </w:t>
      </w:r>
      <w:r>
        <w:t xml:space="preserve">ground truth. We additionally test it against</w:t>
      </w:r>
      <w:r>
        <w:t xml:space="preserve"> </w:t>
      </w:r>
      <w:r>
        <w:rPr>
          <w:i/>
          <w:iCs/>
        </w:rPr>
        <w:t xml:space="preserve">human</w:t>
      </w:r>
      <w:r>
        <w:t xml:space="preserve"> </w:t>
      </w:r>
      <w:r>
        <w:t xml:space="preserve">quality judgments on two standard meta-evaluation</w:t>
      </w:r>
      <w:r>
        <w:t xml:space="preserve"> </w:t>
      </w:r>
      <w:r>
        <w:t xml:space="preserve">benchmarks, scoring with the same cheap cross-family panel (</w:t>
      </w:r>
      <w:r>
        <w:rPr>
          <w:rStyle w:val="VerbatimChar"/>
        </w:rPr>
        <w:t xml:space="preserve">gpt-4o-mini</w:t>
      </w:r>
      <w:r>
        <w:t xml:space="preserve">,</w:t>
      </w:r>
      <w:r>
        <w:t xml:space="preserve"> </w:t>
      </w:r>
      <w:r>
        <w:rPr>
          <w:rStyle w:val="VerbatimChar"/>
        </w:rPr>
        <w:t xml:space="preserve">claude-3.5-haiku</w:t>
      </w:r>
      <w:r>
        <w:t xml:space="preserve">,</w:t>
      </w:r>
      <w:r>
        <w:t xml:space="preserve"> </w:t>
      </w:r>
      <w:r>
        <w:rPr>
          <w:rStyle w:val="VerbatimChar"/>
        </w:rPr>
        <w:t xml:space="preserve">gemini-flash</w:t>
      </w:r>
      <w:r>
        <w:t xml:space="preserve">). On SummEval [</w:t>
      </w:r>
      <w:hyperlink w:anchor="r37">
        <w:r>
          <w:rPr>
            <w:rStyle w:val="Hyperlink"/>
          </w:rPr>
          <w:t xml:space="preserve">37</w:t>
        </w:r>
      </w:hyperlink>
      <w:r>
        <w:t xml:space="preserve">], where experts rate machine summaries, the panel</w:t>
      </w:r>
      <w:r>
        <w:t xml:space="preserve"> </w:t>
      </w:r>
      <w:r>
        <w:t xml:space="preserve">correlates with human ratings at Spearman</w:t>
      </w:r>
      <w:r>
        <w:t xml:space="preserve"> </w:t>
      </w:r>
      <m:oMath>
        <m:r>
          <m:t>0.53</m:t>
        </m:r>
      </m:oMath>
      <w:r>
        <w:t xml:space="preserve"> </w:t>
      </w:r>
      <w:r>
        <w:t xml:space="preserve">(relevance),</w:t>
      </w:r>
      <w:r>
        <w:t xml:space="preserve"> </w:t>
      </w:r>
      <m:oMath>
        <m:r>
          <m:t>0.58</m:t>
        </m:r>
      </m:oMath>
      <w:r>
        <w:t xml:space="preserve"> </w:t>
      </w:r>
      <w:r>
        <w:t xml:space="preserve">(coherence), and</w:t>
      </w:r>
      <w:r>
        <w:t xml:space="preserve"> </w:t>
      </w:r>
      <m:oMath>
        <m:r>
          <m:t>0.56</m:t>
        </m:r>
      </m:oMath>
      <w:r>
        <w:t xml:space="preserve"> </w:t>
      </w:r>
      <w:r>
        <w:t xml:space="preserve">(consistency), in the</w:t>
      </w:r>
      <w:r>
        <w:t xml:space="preserve"> </w:t>
      </w:r>
      <w:r>
        <w:t xml:space="preserve">range strong single-model judges such as G-Eval [</w:t>
      </w:r>
      <w:hyperlink w:anchor="r2">
        <w:r>
          <w:rPr>
            <w:rStyle w:val="Hyperlink"/>
          </w:rPr>
          <w:t xml:space="preserve">2</w:t>
        </w:r>
      </w:hyperlink>
      <w:r>
        <w:t xml:space="preserve">] report on this benchmark, reached here by a</w:t>
      </w:r>
      <w:r>
        <w:t xml:space="preserve"> </w:t>
      </w:r>
      <w:r>
        <w:t xml:space="preserve">panel of small models; the panel exceeds its best single judge on relevance and coherence, and the blind</w:t>
      </w:r>
      <w:r>
        <w:t xml:space="preserve"> </w:t>
      </w:r>
      <w:r>
        <w:t xml:space="preserve">single-judge average on all three. On LLMBar [</w:t>
      </w:r>
      <w:hyperlink w:anchor="r38">
        <w:r>
          <w:rPr>
            <w:rStyle w:val="Hyperlink"/>
          </w:rPr>
          <w:t xml:space="preserve">38</w:t>
        </w:r>
      </w:hyperlink>
      <w:r>
        <w:t xml:space="preserve">], which asks an evaluator to pick the</w:t>
      </w:r>
      <w:r>
        <w:t xml:space="preserve"> </w:t>
      </w:r>
      <w:r>
        <w:t xml:space="preserve">human-preferred output, the panel scores each output</w:t>
      </w:r>
      <w:r>
        <w:t xml:space="preserve"> </w:t>
      </w:r>
      <w:r>
        <w:rPr>
          <w:i/>
          <w:iCs/>
        </w:rPr>
        <w:t xml:space="preserve">absolutely</w:t>
      </w:r>
      <w:r>
        <w:t xml:space="preserve"> </w:t>
      </w:r>
      <w:r>
        <w:t xml:space="preserve">(so no position bias) and prefers the</w:t>
      </w:r>
      <w:r>
        <w:t xml:space="preserve"> </w:t>
      </w:r>
      <w:r>
        <w:t xml:space="preserve">higher; it reaches</w:t>
      </w:r>
      <w:r>
        <w:t xml:space="preserve"> </w:t>
      </w:r>
      <m:oMath>
        <m:r>
          <m:t>0.845</m:t>
        </m:r>
      </m:oMath>
      <w:r>
        <w:t xml:space="preserve"> </w:t>
      </w:r>
      <w:r>
        <w:t xml:space="preserve">preference accuracy overall (</w:t>
      </w:r>
      <m:oMath>
        <m:r>
          <m:t>0.94</m:t>
        </m:r>
      </m:oMath>
      <w:r>
        <w:t xml:space="preserve"> </w:t>
      </w:r>
      <w:r>
        <w:t xml:space="preserve">on the natural split), exceeding the expected accuracy</w:t>
      </w:r>
      <w:r>
        <w:t xml:space="preserve"> </w:t>
      </w:r>
      <w:r>
        <w:t xml:space="preserve">of a single judge chosen blind (</w:t>
      </w:r>
      <m:oMath>
        <m:r>
          <m:t>0.76</m:t>
        </m:r>
      </m:oMath>
      <w:r>
        <w:t xml:space="preserve">) by</w:t>
      </w:r>
      <w:r>
        <w:t xml:space="preserve"> </w:t>
      </w:r>
      <m:oMath>
        <m:r>
          <m:t>0.08</m:t>
        </m:r>
      </m:oMath>
      <w:r>
        <w:t xml:space="preserve"> </w:t>
      </w:r>
      <w:r>
        <w:t xml:space="preserve">and matching the best single judge (</w:t>
      </w:r>
      <m:oMath>
        <m:r>
          <m:t>0.84</m:t>
        </m:r>
      </m:oMath>
      <w:r>
        <w:t xml:space="preserve">) without needing to know</w:t>
      </w:r>
      <w:r>
        <w:t xml:space="preserve"> </w:t>
      </w:r>
      <w:r>
        <w:t xml:space="preserve">which judge that is. Because peer-agreement weights are near-uniform on a clean panel, the weighted and unweighted</w:t>
      </w:r>
      <w:r>
        <w:t xml:space="preserve"> </w:t>
      </w:r>
      <w:r>
        <w:t xml:space="preserve">panels coincide here; the weighting earns its value under judge-pool contamination (Section 5.2).</w:t>
      </w:r>
    </w:p>
    <w:p>
      <w:pPr>
        <w:pStyle w:val="BodyText"/>
        <w:jc w:val="both"/>
        <w:keepNext w:val="0"/>
        <w:keepLines w:val="0"/>
        <w:widowControl w:val="1"/>
      </w:pPr>
      <w:r>
        <w:rPr>
          <w:b/>
          <w:bCs/>
        </w:rPr>
        <w:t xml:space="preserve">Agreement with human judgments.</w:t>
      </w:r>
      <w:r>
        <w:t xml:space="preserve"> </w:t>
      </w:r>
      <w:r>
        <w:t xml:space="preserve">CoEval cross-family panel versus humans on two standard</w:t>
      </w:r>
      <w:r>
        <w:t xml:space="preserve"> </w:t>
      </w:r>
      <w:r>
        <w:t xml:space="preserve">meta-evaluation benchmarks: SummEval (Spearman of panel score with expert ratings,</w:t>
      </w:r>
      <w:r>
        <w:t xml:space="preserve"> </w:t>
      </w:r>
      <m:oMath>
        <m:r>
          <m:t>n</m:t>
        </m:r>
        <m:r>
          <m:rPr>
            <m:sty m:val="p"/>
          </m:rPr>
          <m:t>=</m:t>
        </m:r>
        <m:r>
          <m:t>293</m:t>
        </m:r>
      </m:oMath>
      <w:r>
        <w:t xml:space="preserve">) and LLMBar (accuracy</w:t>
      </w:r>
      <w:r>
        <w:t xml:space="preserve"> </w:t>
      </w:r>
      <w:r>
        <w:t xml:space="preserve">at matching the human-preferred output,</w:t>
      </w:r>
      <w:r>
        <w:t xml:space="preserve"> </w:t>
      </w:r>
      <m:oMath>
        <m:r>
          <m:t>n</m:t>
        </m:r>
        <m:r>
          <m:rPr>
            <m:sty m:val="p"/>
          </m:rPr>
          <m:t>=</m:t>
        </m:r>
        <m:r>
          <m:t>400</m:t>
        </m:r>
      </m:oMath>
      <w:r>
        <w:t xml:space="preserve">). The panel tracks or exceeds the best single judge, which a</w:t>
      </w:r>
      <w:r>
        <w:t xml:space="preserve"> </w:t>
      </w:r>
      <w:r>
        <w:t xml:space="preserve">label-free user cannot select in advance, and clearly beats the blind single-judge average.</w:t>
      </w:r>
    </w:p>
    <w:tbl>
      <w:tblPr>
        <w:tblStyle w:val="Table"/>
        <w:tblW w:type="pct" w:w="5000"/>
        <w:jc w:val="center"/>
        <w:tblLook w:firstRow="1" w:lastRow="0" w:firstColumn="0" w:lastColumn="0" w:noHBand="0" w:noVBand="0" w:val="0020"/>
        <w:tblCaption w:val="Agreement with human judgments. CoEval cross-family panel versus humans on two standard meta-evaluation benchmarks: SummEval (Spearman of panel score with expert ratings, n = 293) and LLMBar (accuracy at matching the human-preferred output, n = 400). The panel tracks or exceeds the best single judge, which a label-free user cannot select in advance, and clearly beats the blind single-judge averag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Benchmark and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Best single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Blind single (avg)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relevance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coherence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consistency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LLMBar overall (accuracy)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LLMBar natural split (accuracy)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0.831</w:t>
            </w:r>
          </w:p>
        </w:tc>
      </w:tr>
    </w:tbl>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its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Composition over size. Average-measures reliability ICC(3, k) as judges are added in descending agreement order. A selected strong panel reaches ICC = 0.70; indiscriminately adding low-agreement judges lowers the mean inter-rater correlation faster than averaging compensates, so reliability falls. CoEval's consensus selection retains the high-agreement judges, delivering the reliable configuration automatically.</w:t>
      </w:r>
    </w:p>
    <w:p>
      <w:pPr>
        <w:pStyle w:val="BodyText"/>
        <w:jc w:val="both"/>
        <w:keepNext w:val="0"/>
        <w:keepLines w:val="0"/>
        <w:widowControl w:val="1"/>
      </w:pPr>
      <w:r>
        <w:t xml:space="preserve">Composition matters because the</w:t>
      </w:r>
      <w:r>
        <w:t xml:space="preserve"> </w:t>
      </w:r>
      <w:r>
        <w:rPr>
          <w:i/>
          <w:iCs/>
        </w:rPr>
        <w:t xml:space="preserve">wrong single judge can actively mislead</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5.4)</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with the rogue judge receiving weight</w:t>
      </w:r>
      <w:r>
        <w:t xml:space="preserve"> </w:t>
      </w:r>
      <m:oMath>
        <m:r>
          <m:t>0.00</m:t>
        </m:r>
      </m:oMath>
      <w:r>
        <w:t xml:space="preserve">. Compared against standard</w:t>
      </w:r>
      <w:r>
        <w:t xml:space="preserve"> </w:t>
      </w:r>
      <w:r>
        <w:t xml:space="preserve">baselines on the same scores (Table 4), the doubly-robust ranking matches or beats the best single judge (an</w:t>
      </w:r>
      <w:r>
        <w:t xml:space="preserve"> </w:t>
      </w:r>
      <w:r>
        <w:t xml:space="preserve">oracle, since which judge is best is not knowable without labels), the unweighted panel (PoLL), and the median; its</w:t>
      </w:r>
      <w:r>
        <w:t xml:space="preserve"> </w:t>
      </w:r>
      <w:r>
        <w:t xml:space="preserve">decisive advantage is robustness to a contaminated judge pool: adding rogue judges steadily degrades the unweighted</w:t>
      </w:r>
      <w:r>
        <w:t xml:space="preserve"> </w:t>
      </w:r>
      <w:r>
        <w:t xml:space="preserve">mean (0.88, 0.85, 0.64) and even the median (0.94, 0.91, 0.71) at zero, one, and three rogue judges, while the</w:t>
      </w:r>
      <w:r>
        <w:t xml:space="preserve"> </w:t>
      </w:r>
      <w:r>
        <w:t xml:space="preserve">doubly-robust ranking is invariant to a minority rogue (0.95) and still leads at rogue parity (0.79).</w:t>
      </w:r>
    </w:p>
    <w:p>
      <w:pPr>
        <w:pStyle w:val="TableCaption"/>
        <w:spacing w:before="280" w:after="60" w:line="240" w:lineRule="auto"/>
        <w:jc w:val="center"/>
        <w:keepNext/>
        <w:keepLines/>
        <w:widowControl w:val="1"/>
      </w:pPr>
      <w:r>
        <w:rPr>
          <w:b/>
          <w:i/>
        </w:rPr>
        <w:t>Table 4.</w:t>
      </w:r>
      <w:r>
        <w:rPr>
          <w:b w:val="0"/>
          <w:i/>
        </w:rPr>
        <w:t xml:space="preserve"> </w:t>
      </w:r>
      <w:r>
        <w:rPr>
          <w:b w:val="0"/>
          <w:i/>
        </w:rPr>
        <w:t>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4. 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Aggregator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Spearman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Kendall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Best single judge (oracle)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 (PoLL)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median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Item-weighted (discrimination)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Judge-weighted (agreement)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Doubly-robust (both)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panel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doubly-robust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bl>
    <w:p>
      <w:pPr>
        <w:pStyle w:val="BodyText"/>
        <w:spacing w:before="240"/>
        <w:jc w:val="both"/>
        <w:keepNext w:val="0"/>
        <w:keepLines w:val="0"/>
        <w:widowControl w:val="1"/>
      </w:pPr>
      <w:r>
        <w:t xml:space="preserve">The ensemble also cancels</w:t>
      </w:r>
      <w:r>
        <w:t xml:space="preserve"> </w:t>
      </w:r>
      <w:r>
        <w:rPr>
          <w:i/>
          <w:iCs/>
        </w:rPr>
        <w:t xml:space="preserve">verbosity bias</w:t>
      </w:r>
      <w:r>
        <w:t xml:space="preserve"> </w:t>
      </w:r>
      <w:r>
        <w:t xml:space="preserve">(mixed-sign per-judge length biases average to a</w:t>
      </w:r>
      <w:r>
        <w:t xml:space="preserve"> </w:t>
      </w:r>
      <w:r>
        <w:t xml:space="preserve">near-zero ensemble correlation) and, by vendor-disjoint construction, precludes same-family</w:t>
      </w:r>
      <w:r>
        <w:t xml:space="preserve"> </w:t>
      </w:r>
      <w:r>
        <w:rPr>
          <w:i/>
          <w:iCs/>
        </w:rPr>
        <w:t xml:space="preserve">self-preference</w:t>
      </w:r>
      <w:r>
        <w:t xml:space="preserve">; Appendix E reports both, including the residual-bias measurements.</w:t>
      </w:r>
    </w:p>
    <w:bookmarkEnd w:id="31"/>
    <w:bookmarkStart w:id="32" w:name="contamination-resistance"/>
    <w:p>
      <w:pPr>
        <w:pStyle w:val="Heading3"/>
        <w:keepNext/>
        <w:keepLines/>
        <w:widowControl w:val="1"/>
      </w:pPr>
      <w:r>
        <w:t xml:space="preserve">5.3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bookmarkEnd w:id="32"/>
    <w:bookmarkStart w:id="33" w:name="putting-it-together-domain-case-studies"/>
    <w:p>
      <w:pPr>
        <w:pStyle w:val="Heading3"/>
        <w:keepNext/>
        <w:keepLines/>
        <w:widowControl w:val="1"/>
      </w:pPr>
      <w:r>
        <w:t xml:space="preserve">5.4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C">
        <w:r>
          <w:rPr>
            <w:rStyle w:val="Hyperlink"/>
          </w:rPr>
          <w:t xml:space="preserve">Appendix C</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TableCaption"/>
        <w:spacing w:before="280" w:after="60" w:line="240" w:lineRule="auto"/>
        <w:jc w:val="center"/>
        <w:keepNext/>
        <w:keepLines/>
        <w:widowControl w:val="1"/>
      </w:pPr>
      <w:r>
        <w:rPr>
          <w:b/>
          <w:i/>
        </w:rPr>
        <w:t>Table 5.</w:t>
      </w:r>
      <w:r>
        <w:rPr>
          <w:b w:val="0"/>
          <w:i/>
        </w:rPr>
        <w:t xml:space="preserve"> </w:t>
      </w:r>
      <w:r>
        <w:rPr>
          <w:b w:val="0"/>
          <w:i/>
        </w:rPr>
        <w:t>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Vertical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Drug–drug 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0.770 [0.739, 0.800]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0.682 [0.646, 0.717]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0.497 [0.459, 0.532]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Clinical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0.873 [0.849, 0.895]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0.864 [0.840, 0.885]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0.814 [0.784, 0.844]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Legal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0.982 [0.973, 0.991]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0.740 [0.709, 0.770]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0.709 [0.677, 0.744]</w:t>
            </w:r>
          </w:p>
        </w:tc>
      </w:tr>
    </w:tbl>
    <w:p>
      <w:pPr>
        <w:pStyle w:val="BodyText"/>
        <w:spacing w:before="240"/>
        <w:jc w:val="both"/>
        <w:keepNext w:val="0"/>
        <w:keepLines w:val="0"/>
        <w:widowControl w:val="1"/>
      </w:pPr>
      <w:r>
        <w:t xml:space="preserve">Rankings are also</w:t>
      </w:r>
      <w:r>
        <w:t xml:space="preserve"> </w:t>
      </w:r>
      <w:r>
        <w:rPr>
          <w:i/>
          <w:iCs/>
        </w:rPr>
        <w:t xml:space="preserve">domain-specific</w:t>
      </w:r>
      <w:r>
        <w:t xml:space="preserve">: across four de-novo domains three different models take first place,</w:t>
      </w:r>
      <w:r>
        <w:t xml:space="preserve"> </w:t>
      </w:r>
      <w:r>
        <w:t xml:space="preserve">so a generic leaderboard misdirects most practitioners. Appendix D details this divergence (Table D1).</w:t>
      </w:r>
    </w:p>
    <w:bookmarkEnd w:id="33"/>
    <w:bookmarkEnd w:id="34"/>
    <w:bookmarkStart w:id="35"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The composition-over-size finding explains</w:t>
      </w:r>
      <w:r>
        <w:t xml:space="preserve"> </w:t>
      </w:r>
      <w:r>
        <w:rPr>
          <w:i/>
          <w:iCs/>
        </w:rPr>
        <w:t xml:space="preserve">why</w:t>
      </w:r>
      <w:r>
        <w:t xml:space="preserve"> </w:t>
      </w:r>
      <w:r>
        <w:t xml:space="preserve">this label-free judging can be trusted.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bookmarkEnd w:id="35"/>
    <w:bookmarkStart w:id="36"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framework for</w:t>
      </w:r>
      <w:r>
        <w:t xml:space="preserve"> </w:t>
      </w:r>
      <w:r>
        <w:rPr>
          <w:i/>
          <w:iCs/>
        </w:rPr>
        <w:t xml:space="preserve">ensemble self-evaluation</w:t>
      </w:r>
      <w:r>
        <w:t xml:space="preserve"> </w:t>
      </w:r>
      <w:r>
        <w:t xml:space="preserve">that ranks language models for a specific application when neither labeled data nor a trustworthy benchmark is available: from a task description alone, a pool of models rotates through all three roles, teacher, student, and judge, to generate a fresh, contamination-resistant benchmark, answer it, and rank the candidates, jointly weighting questions by discriminative power and judges by consensus, with no human annotation. Because every model also answers as a student, the same responses supply the data for both label-free weights.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w:t>
      </w:r>
    </w:p>
    <w:p>
      <w:pPr>
        <w:pStyle w:val="BodyText"/>
        <w:jc w:val="both"/>
        <w:keepNext w:val="0"/>
        <w:keepLines w:val="0"/>
        <w:widowControl w:val="1"/>
      </w:pPr>
      <w:r>
        <w:t xml:space="preserve">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the same weighting down-weights non-discriminative</w:t>
      </w:r>
      <w:r>
        <w:t xml:space="preserve"> </w:t>
      </w:r>
      <w:r>
        <w:t xml:space="preserve">challenges, so saturated questions carry no spurious ranking signal. Because model rankings are</w:t>
      </w:r>
      <w:r>
        <w:t xml:space="preserve"> </w:t>
      </w:r>
      <w:r>
        <w:rPr>
          <w:i/>
          <w:iCs/>
        </w:rPr>
        <w:t xml:space="preserve">domain-specific</w:t>
      </w:r>
      <w:r>
        <w:t xml:space="preserve"> </w:t>
      </w:r>
      <w:r>
        <w:t xml:space="preserve">(three different models top four de-novo domains, so a generic leaderboard misdirects most</w:t>
      </w:r>
      <w:r>
        <w:t xml:space="preserve"> </w:t>
      </w:r>
      <w:r>
        <w:t xml:space="preserve">practitioners) and the same declarative pipeline runs unchanged across models and domains, re-running on</w:t>
      </w:r>
      <w:r>
        <w:t xml:space="preserve"> </w:t>
      </w:r>
      <w:r>
        <w:t xml:space="preserve">every model release, CoEval is a reusable instrument a team points at its own application when neither labeled data nor</w:t>
      </w:r>
      <w:r>
        <w:t xml:space="preserve"> </w:t>
      </w:r>
      <w:r>
        <w:t xml:space="preserve">a trustworthy benchmark exists, rather than a single static study. CoEval is open-source and fully reproducible.</w:t>
      </w:r>
    </w:p>
    <w:bookmarkEnd w:id="36"/>
    <w:bookmarkStart w:id="37" w:name="limitations"/>
    <w:p>
      <w:pPr>
        <w:pStyle w:val="Heading2"/>
        <w:keepNext/>
        <w:keepLines/>
        <w:widowControl w:val="1"/>
      </w:pPr>
      <w:r>
        <w:t xml:space="preserve">Limitations</w:t>
      </w:r>
    </w:p>
    <w:p>
      <w:pPr>
        <w:pStyle w:val="FirstParagraph"/>
        <w:jc w:val="both"/>
        <w:keepNext w:val="0"/>
        <w:keepLines w:val="0"/>
        <w:widowControl w:val="1"/>
      </w:pPr>
      <w:r>
        <w:t xml:space="preserve">Three boundary conditions delimit the validated regime. First, judge accuracy is anchored to objective exact-match QA,</w:t>
      </w:r>
      <w:r>
        <w:t xml:space="preserve"> </w:t>
      </w:r>
      <w:r>
        <w:t xml:space="preserve">where labels exist (Section 5.1,</w:t>
      </w:r>
      <w:r>
        <w:t xml:space="preserve"> </w:t>
      </w:r>
      <m:oMath>
        <m:r>
          <m:t>ρ</m:t>
        </m:r>
        <m:r>
          <m:rPr>
            <m:sty m:val="p"/>
          </m:rPr>
          <m:t>=</m:t>
        </m:r>
        <m:r>
          <m:t>0.86</m:t>
        </m:r>
      </m:oMath>
      <w:r>
        <w:t xml:space="preserve">), and to human ratings on two public meta-evaluation benchmarks</w:t>
      </w:r>
      <w:r>
        <w:t xml:space="preserve"> </w:t>
      </w:r>
      <w:r>
        <w:t xml:space="preserve">(Section 5.1, SummEval and LLMBar); on the subjective custom domains (Section 5.4) the panel's trustworthiness</w:t>
      </w:r>
      <w:r>
        <w:t xml:space="preserve"> </w:t>
      </w:r>
      <w:r>
        <w:t xml:space="preserve">rests on those anchors together with its measured bias and reliability properties (Section 5.2 and Appendix E), and</w:t>
      </w:r>
      <w:r>
        <w:t xml:space="preserve"> </w:t>
      </w:r>
      <w:r>
        <w:t xml:space="preserve">rankings are reported as cross-family intervals rather than against a held-out gold ranking, which by assumption does</w:t>
      </w:r>
      <w:r>
        <w:t xml:space="preserve"> </w:t>
      </w:r>
      <w:r>
        <w:t xml:space="preserve">not exist. Task-specific human evaluation on those domains is the natural convergent check and the primary direction for</w:t>
      </w:r>
      <w:r>
        <w:t xml:space="preserve"> </w:t>
      </w:r>
      <w:r>
        <w:t xml:space="preserve">future validation. Second, the study spans up to thirteen candidate models across four exact-match QA tasks, three</w:t>
      </w:r>
      <w:r>
        <w:t xml:space="preserve"> </w:t>
      </w:r>
      <w:r>
        <w:t xml:space="preserve">custom verticals, a four-domain divergence study (Appendix D), and a thirteen-model rank-recovery check</w:t>
      </w:r>
      <w:r>
        <w:t xml:space="preserve"> </w:t>
      </w:r>
      <w:r>
        <w:t xml:space="preserve">(Section 5.2); wider model pools and further domains would extend the evidence. Third, the contamination guarantee</w:t>
      </w:r>
      <w:r>
        <w:t xml:space="preserve"> </w:t>
      </w:r>
      <w:r>
        <w:t xml:space="preserve">is structural (fresh per-run synthesis), validated by zero verbatim overlap and a controlled memorization study</w:t>
      </w:r>
      <w:r>
        <w:t xml:space="preserve"> </w:t>
      </w:r>
      <w:r>
        <w:t xml:space="preserve">(Section 5.3); verbatim n-gram overlap and membership-inference probes such as Min-K% [</w:t>
      </w:r>
      <w:hyperlink w:anchor="r36">
        <w:r>
          <w:rPr>
            <w:rStyle w:val="Hyperlink"/>
          </w:rPr>
          <w:t xml:space="preserve">36</w:t>
        </w:r>
      </w:hyperlink>
      <w:r>
        <w:t xml:space="preserve">]</w:t>
      </w:r>
      <w:r>
        <w:t xml:space="preserve"> </w:t>
      </w:r>
      <w:r>
        <w:t xml:space="preserve">answer complementary questions, the former whether an item is reproduced, the latter whether it was seen during</w:t>
      </w:r>
      <w:r>
        <w:t xml:space="preserve"> </w:t>
      </w:r>
      <w:r>
        <w:t xml:space="preserve">pretraining.</w:t>
      </w:r>
    </w:p>
    <w:bookmarkEnd w:id="37"/>
    <w:bookmarkStart w:id="38" w:name="ethics-statement"/>
    <w:p>
      <w:pPr>
        <w:pStyle w:val="Heading2"/>
        <w:keepNext/>
        <w:keepLines/>
        <w:widowControl w:val="1"/>
      </w:pPr>
      <w:r>
        <w:t xml:space="preserve">Ethics Statement</w:t>
      </w:r>
    </w:p>
    <w:p>
      <w:pPr>
        <w:pStyle w:val="FirstParagraph"/>
        <w:jc w:val="both"/>
        <w:keepNext w:val="0"/>
        <w:keepLines w:val="0"/>
        <w:widowControl w:val="1"/>
      </w:pPr>
      <w:r>
        <w:t xml:space="preserve">CoEval evaluates language models and involves no new human-subjects data collection. The human judgments used to</w:t>
      </w:r>
      <w:r>
        <w:t xml:space="preserve"> </w:t>
      </w:r>
      <w:r>
        <w:t xml:space="preserve">validate the judge (Section 5.1) come from existing public meta-evaluation benchmarks (SummEval, LLMBar) used</w:t>
      </w:r>
      <w:r>
        <w:t xml:space="preserve"> </w:t>
      </w:r>
      <w:r>
        <w:t xml:space="preserve">under their released licenses. The drug-interaction, clinical, and legal verticals (Section 5.4) are illustrations</w:t>
      </w:r>
      <w:r>
        <w:t xml:space="preserve"> </w:t>
      </w:r>
      <w:r>
        <w:t xml:space="preserve">of contamination-free benchmark generation, not validated decision-support systems, and should not be used for clinical</w:t>
      </w:r>
      <w:r>
        <w:t xml:space="preserve"> </w:t>
      </w:r>
      <w:r>
        <w:t xml:space="preserve">or legal decisions. Because CoEval generates evaluation items and scores them with language models, generated items and</w:t>
      </w:r>
      <w:r>
        <w:t xml:space="preserve"> </w:t>
      </w:r>
      <w:r>
        <w:t xml:space="preserve">rubrics can inherit model biases; the cross-family panel and the contamination checks mitigate but do not eliminate this</w:t>
      </w:r>
      <w:r>
        <w:t xml:space="preserve"> </w:t>
      </w:r>
      <w:r>
        <w:t xml:space="preserve">risk, and a practitioner applying CoEval in a high-stakes domain should pair it with human oversight.</w:t>
      </w:r>
    </w:p>
    <w:bookmarkEnd w:id="38"/>
    <w:bookmarkStart w:id="39" w:name="reproducibility"/>
    <w:p>
      <w:pPr>
        <w:pStyle w:val="Heading2"/>
        <w:keepNext/>
        <w:keepLines/>
        <w:widowControl w:val="1"/>
      </w:pPr>
      <w:r>
        <w:t xml:space="preserve">Reproducibility</w:t>
      </w:r>
    </w:p>
    <w:p>
      <w:pPr>
        <w:pStyle w:val="FirstParagraph"/>
        <w:jc w:val="both"/>
        <w:keepNext w:val="0"/>
        <w:keepLines w:val="0"/>
        <w:widowControl w:val="1"/>
      </w:pPr>
      <w:r>
        <w:t xml:space="preserve">Every experiment is driven by a declarative configuration file and is reproducible end to end. The framework, the</w:t>
      </w:r>
      <w:r>
        <w:t xml:space="preserve"> </w:t>
      </w:r>
      <w:r>
        <w:t xml:space="preserve">canonical prompt templates (Appendix C), the attribute and rubric specifications, the judge-panel definitions, and</w:t>
      </w:r>
      <w:r>
        <w:t xml:space="preserve"> </w:t>
      </w:r>
      <w:r>
        <w:t xml:space="preserve">the analysis code are released open-source, and the per-run scores and recovered rankings are recorded as artifacts. The</w:t>
      </w:r>
      <w:r>
        <w:t xml:space="preserve"> </w:t>
      </w:r>
      <w:r>
        <w:t xml:space="preserve">statistical estimators (ICC, bootstrap confidence intervals, the doubly-robust aggregator) are defined in</w:t>
      </w:r>
      <w:r>
        <w:t xml:space="preserve"> </w:t>
      </w:r>
      <w:r>
        <w:t xml:space="preserve">Appendix A.</w:t>
      </w:r>
    </w:p>
    <w:bookmarkEnd w:id="39"/>
    <w:bookmarkStart w:id="116"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Georgia" w:hAnsi="Georgia"/>
          <w:sz w:val="20"/>
        </w:rPr>
        <w:t xml:space="preserve">1. </w:t>
      </w:r>
      <w:bookmarkStart w:id="41"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0">
        <w:r>
          <w:rPr>
            <w:rStyle w:val="Hyperlink"/>
          </w:rPr>
          <w:t xml:space="preserve">arxiv.org/abs/2306.05685</w:t>
        </w:r>
      </w:hyperlink>
      <w:bookmarkEnd w:id="41"/>
    </w:p>
    <w:p>
      <w:pPr>
        <w:pStyle w:val="ReferenceEntry"/>
        <w:numPr>
          <w:ilvl w:val="0"/>
          <w:numId w:val="1002"/>
        </w:numPr>
        <w:spacing w:after="60"/>
        <w:ind w:left="360" w:hanging="259"/>
        <w:jc w:val="left"/>
        <w:keepNext w:val="0"/>
        <w:keepLines w:val="0"/>
        <w:widowControl w:val="1"/>
      </w:pPr>
      <w:r>
        <w:rPr>
          <w:rFonts w:ascii="Georgia" w:hAnsi="Georgia"/>
          <w:sz w:val="20"/>
        </w:rPr>
        <w:t xml:space="preserve">2. </w:t>
      </w:r>
      <w:bookmarkStart w:id="43"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2">
        <w:r>
          <w:rPr>
            <w:rStyle w:val="Hyperlink"/>
          </w:rPr>
          <w:t xml:space="preserve">arxiv.org/abs/2303.16634</w:t>
        </w:r>
      </w:hyperlink>
      <w:bookmarkEnd w:id="43"/>
    </w:p>
    <w:p>
      <w:pPr>
        <w:pStyle w:val="ReferenceEntry"/>
        <w:numPr>
          <w:ilvl w:val="0"/>
          <w:numId w:val="1002"/>
        </w:numPr>
        <w:spacing w:after="60"/>
        <w:ind w:left="360" w:hanging="259"/>
        <w:jc w:val="left"/>
        <w:keepNext w:val="0"/>
        <w:keepLines w:val="0"/>
        <w:widowControl w:val="1"/>
      </w:pPr>
      <w:r>
        <w:rPr>
          <w:rFonts w:ascii="Georgia" w:hAnsi="Georgia"/>
          <w:sz w:val="20"/>
        </w:rPr>
        <w:t xml:space="preserve">3. </w:t>
      </w:r>
      <w:bookmarkStart w:id="45"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4">
        <w:r>
          <w:rPr>
            <w:rStyle w:val="Hyperlink"/>
          </w:rPr>
          <w:t xml:space="preserve">arxiv.org/abs/2405.01535</w:t>
        </w:r>
      </w:hyperlink>
      <w:bookmarkEnd w:id="45"/>
    </w:p>
    <w:p>
      <w:pPr>
        <w:pStyle w:val="ReferenceEntry"/>
        <w:numPr>
          <w:ilvl w:val="0"/>
          <w:numId w:val="1002"/>
        </w:numPr>
        <w:spacing w:after="60"/>
        <w:ind w:left="360" w:hanging="259"/>
        <w:jc w:val="left"/>
        <w:keepNext w:val="0"/>
        <w:keepLines w:val="0"/>
        <w:widowControl w:val="1"/>
      </w:pPr>
      <w:r>
        <w:rPr>
          <w:rFonts w:ascii="Georgia" w:hAnsi="Georgia"/>
          <w:sz w:val="20"/>
        </w:rPr>
        <w:t xml:space="preserve">4. </w:t>
      </w:r>
      <w:bookmarkStart w:id="47"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6">
        <w:r>
          <w:rPr>
            <w:rStyle w:val="Hyperlink"/>
          </w:rPr>
          <w:t xml:space="preserve">arxiv.org/abs/2407.10817</w:t>
        </w:r>
      </w:hyperlink>
      <w:bookmarkEnd w:id="47"/>
    </w:p>
    <w:p>
      <w:pPr>
        <w:pStyle w:val="ReferenceEntry"/>
        <w:numPr>
          <w:ilvl w:val="0"/>
          <w:numId w:val="1002"/>
        </w:numPr>
        <w:spacing w:after="60"/>
        <w:ind w:left="360" w:hanging="259"/>
        <w:jc w:val="left"/>
        <w:keepNext w:val="0"/>
        <w:keepLines w:val="0"/>
        <w:widowControl w:val="1"/>
      </w:pPr>
      <w:r>
        <w:rPr>
          <w:rFonts w:ascii="Georgia" w:hAnsi="Georgia"/>
          <w:sz w:val="20"/>
        </w:rPr>
        <w:t xml:space="preserve">5. </w:t>
      </w:r>
      <w:bookmarkStart w:id="49"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48">
        <w:r>
          <w:rPr>
            <w:rStyle w:val="Hyperlink"/>
          </w:rPr>
          <w:t xml:space="preserve">arxiv.org/abs/2404.18796</w:t>
        </w:r>
      </w:hyperlink>
      <w:bookmarkEnd w:id="49"/>
    </w:p>
    <w:p>
      <w:pPr>
        <w:pStyle w:val="ReferenceEntry"/>
        <w:numPr>
          <w:ilvl w:val="0"/>
          <w:numId w:val="1002"/>
        </w:numPr>
        <w:spacing w:after="60"/>
        <w:ind w:left="360" w:hanging="259"/>
        <w:jc w:val="left"/>
        <w:keepNext w:val="0"/>
        <w:keepLines w:val="0"/>
        <w:widowControl w:val="1"/>
      </w:pPr>
      <w:r>
        <w:rPr>
          <w:rFonts w:ascii="Georgia" w:hAnsi="Georgia"/>
          <w:sz w:val="20"/>
        </w:rPr>
        <w:t xml:space="preserve">6. </w:t>
      </w:r>
      <w:bookmarkStart w:id="51"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0">
        <w:r>
          <w:rPr>
            <w:rStyle w:val="Hyperlink"/>
          </w:rPr>
          <w:t xml:space="preserve">arxiv.org/abs/2410.12784</w:t>
        </w:r>
      </w:hyperlink>
      <w:bookmarkEnd w:id="51"/>
    </w:p>
    <w:p>
      <w:pPr>
        <w:pStyle w:val="ReferenceEntry"/>
        <w:numPr>
          <w:ilvl w:val="0"/>
          <w:numId w:val="1002"/>
        </w:numPr>
        <w:spacing w:after="60"/>
        <w:ind w:left="360" w:hanging="259"/>
        <w:jc w:val="left"/>
        <w:keepNext w:val="0"/>
        <w:keepLines w:val="0"/>
        <w:widowControl w:val="1"/>
      </w:pPr>
      <w:r>
        <w:rPr>
          <w:rFonts w:ascii="Georgia" w:hAnsi="Georgia"/>
          <w:sz w:val="20"/>
        </w:rPr>
        <w:t xml:space="preserve">7. </w:t>
      </w:r>
      <w:bookmarkStart w:id="53"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2">
        <w:r>
          <w:rPr>
            <w:rStyle w:val="Hyperlink"/>
          </w:rPr>
          <w:t xml:space="preserve">arxiv.org/abs/2406.05761</w:t>
        </w:r>
      </w:hyperlink>
      <w:bookmarkEnd w:id="53"/>
    </w:p>
    <w:p>
      <w:pPr>
        <w:pStyle w:val="ReferenceEntry"/>
        <w:numPr>
          <w:ilvl w:val="0"/>
          <w:numId w:val="1002"/>
        </w:numPr>
        <w:spacing w:after="60"/>
        <w:ind w:left="360" w:hanging="259"/>
        <w:jc w:val="left"/>
        <w:keepNext w:val="0"/>
        <w:keepLines w:val="0"/>
        <w:widowControl w:val="1"/>
      </w:pPr>
      <w:r>
        <w:rPr>
          <w:rFonts w:ascii="Georgia" w:hAnsi="Georgia"/>
          <w:sz w:val="20"/>
        </w:rPr>
        <w:t xml:space="preserve">8. </w:t>
      </w:r>
      <w:bookmarkStart w:id="55"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4">
        <w:r>
          <w:rPr>
            <w:rStyle w:val="Hyperlink"/>
          </w:rPr>
          <w:t xml:space="preserve">arxiv.org/abs/2404.04475</w:t>
        </w:r>
      </w:hyperlink>
      <w:bookmarkEnd w:id="55"/>
    </w:p>
    <w:p>
      <w:pPr>
        <w:pStyle w:val="ReferenceEntry"/>
        <w:numPr>
          <w:ilvl w:val="0"/>
          <w:numId w:val="1002"/>
        </w:numPr>
        <w:spacing w:after="60"/>
        <w:ind w:left="360" w:hanging="259"/>
        <w:jc w:val="left"/>
        <w:keepNext w:val="0"/>
        <w:keepLines w:val="0"/>
        <w:widowControl w:val="1"/>
      </w:pPr>
      <w:r>
        <w:rPr>
          <w:rFonts w:ascii="Georgia" w:hAnsi="Georgia"/>
          <w:sz w:val="20"/>
        </w:rPr>
        <w:t xml:space="preserve">9. </w:t>
      </w:r>
      <w:bookmarkStart w:id="57" w:name="r9"/>
      <w:r>
        <w:t xml:space="preserve">Li, X. L., Kazemi, M., et al. (2024).</w:t>
      </w:r>
      <w:r>
        <w:t xml:space="preserve"> </w:t>
      </w:r>
      <w:r>
        <w:rPr>
          <w:i/>
          <w:iCs/>
        </w:rPr>
        <w:t xml:space="preserve">AutoBencher: Towards Declarative Benchmark Construction.</w:t>
      </w:r>
      <w:r>
        <w:t xml:space="preserve"> </w:t>
      </w:r>
      <w:hyperlink r:id="rId56">
        <w:r>
          <w:rPr>
            <w:rStyle w:val="Hyperlink"/>
          </w:rPr>
          <w:t xml:space="preserve">arxiv.org/abs/2407.08351</w:t>
        </w:r>
      </w:hyperlink>
      <w:bookmarkEnd w:id="57"/>
    </w:p>
    <w:p>
      <w:pPr>
        <w:pStyle w:val="ReferenceEntry"/>
        <w:numPr>
          <w:ilvl w:val="0"/>
          <w:numId w:val="1002"/>
        </w:numPr>
        <w:spacing w:after="60"/>
        <w:ind w:left="360" w:hanging="259"/>
        <w:jc w:val="left"/>
        <w:keepNext w:val="0"/>
        <w:keepLines w:val="0"/>
        <w:widowControl w:val="1"/>
      </w:pPr>
      <w:r>
        <w:rPr>
          <w:rFonts w:ascii="Georgia" w:hAnsi="Georgia"/>
          <w:sz w:val="20"/>
        </w:rPr>
        <w:t xml:space="preserve">10. </w:t>
      </w:r>
      <w:bookmarkStart w:id="59"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58">
        <w:r>
          <w:rPr>
            <w:rStyle w:val="Hyperlink"/>
          </w:rPr>
          <w:t xml:space="preserve">arxiv.org/abs/2410.22584</w:t>
        </w:r>
      </w:hyperlink>
      <w:bookmarkEnd w:id="59"/>
    </w:p>
    <w:p>
      <w:pPr>
        <w:pStyle w:val="ReferenceEntry"/>
        <w:numPr>
          <w:ilvl w:val="0"/>
          <w:numId w:val="1002"/>
        </w:numPr>
        <w:spacing w:after="60"/>
        <w:ind w:left="360" w:hanging="259"/>
        <w:jc w:val="left"/>
        <w:keepNext w:val="0"/>
        <w:keepLines w:val="0"/>
        <w:widowControl w:val="1"/>
      </w:pPr>
      <w:r>
        <w:rPr>
          <w:rFonts w:ascii="Georgia" w:hAnsi="Georgia"/>
          <w:sz w:val="20"/>
        </w:rPr>
        <w:t xml:space="preserve">11. </w:t>
      </w:r>
      <w:bookmarkStart w:id="61" w:name="r11"/>
      <w:r>
        <w:t xml:space="preserve">Shashidhar, S., et al. (2025).</w:t>
      </w:r>
      <w:r>
        <w:t xml:space="preserve"> </w:t>
      </w:r>
      <w:r>
        <w:rPr>
          <w:i/>
          <w:iCs/>
        </w:rPr>
        <w:t xml:space="preserve">YourBench: Easy Custom Evaluation Sets for Everyone.</w:t>
      </w:r>
      <w:r>
        <w:t xml:space="preserve"> </w:t>
      </w:r>
      <w:hyperlink r:id="rId60">
        <w:r>
          <w:rPr>
            <w:rStyle w:val="Hyperlink"/>
          </w:rPr>
          <w:t xml:space="preserve">arxiv.org/abs/2504.01833</w:t>
        </w:r>
      </w:hyperlink>
      <w:bookmarkEnd w:id="61"/>
    </w:p>
    <w:p>
      <w:pPr>
        <w:pStyle w:val="ReferenceEntry"/>
        <w:numPr>
          <w:ilvl w:val="0"/>
          <w:numId w:val="1002"/>
        </w:numPr>
        <w:spacing w:after="60"/>
        <w:ind w:left="360" w:hanging="259"/>
        <w:jc w:val="left"/>
        <w:keepNext w:val="0"/>
        <w:keepLines w:val="0"/>
        <w:widowControl w:val="1"/>
      </w:pPr>
      <w:r>
        <w:rPr>
          <w:rFonts w:ascii="Georgia" w:hAnsi="Georgia"/>
          <w:sz w:val="20"/>
        </w:rPr>
        <w:t xml:space="preserve">12. </w:t>
      </w:r>
      <w:bookmarkStart w:id="63"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2">
        <w:r>
          <w:rPr>
            <w:rStyle w:val="Hyperlink"/>
          </w:rPr>
          <w:t xml:space="preserve">arxiv.org/abs/2405.00332</w:t>
        </w:r>
      </w:hyperlink>
      <w:bookmarkEnd w:id="63"/>
    </w:p>
    <w:p>
      <w:pPr>
        <w:pStyle w:val="ReferenceEntry"/>
        <w:numPr>
          <w:ilvl w:val="0"/>
          <w:numId w:val="1002"/>
        </w:numPr>
        <w:spacing w:after="60"/>
        <w:ind w:left="360" w:hanging="259"/>
        <w:jc w:val="left"/>
        <w:keepNext w:val="0"/>
        <w:keepLines w:val="0"/>
        <w:widowControl w:val="1"/>
      </w:pPr>
      <w:r>
        <w:rPr>
          <w:rFonts w:ascii="Georgia" w:hAnsi="Georgia"/>
          <w:sz w:val="20"/>
        </w:rPr>
        <w:t xml:space="preserve">13. </w:t>
      </w:r>
      <w:bookmarkStart w:id="65" w:name="r13"/>
      <w:r>
        <w:t xml:space="preserve">Xu, C., et al. (2025).</w:t>
      </w:r>
      <w:r>
        <w:t xml:space="preserve"> </w:t>
      </w:r>
      <w:r>
        <w:rPr>
          <w:i/>
          <w:iCs/>
        </w:rPr>
        <w:t xml:space="preserve">Benchmark Data Contamination of Large Language Models: A Survey.</w:t>
      </w:r>
      <w:r>
        <w:t xml:space="preserve"> </w:t>
      </w:r>
      <w:hyperlink r:id="rId64">
        <w:r>
          <w:rPr>
            <w:rStyle w:val="Hyperlink"/>
          </w:rPr>
          <w:t xml:space="preserve">arxiv.org/abs/2502.14425</w:t>
        </w:r>
      </w:hyperlink>
      <w:bookmarkEnd w:id="65"/>
    </w:p>
    <w:p>
      <w:pPr>
        <w:pStyle w:val="ReferenceEntry"/>
        <w:numPr>
          <w:ilvl w:val="0"/>
          <w:numId w:val="1002"/>
        </w:numPr>
        <w:spacing w:after="60"/>
        <w:ind w:left="360" w:hanging="259"/>
        <w:jc w:val="left"/>
        <w:keepNext w:val="0"/>
        <w:keepLines w:val="0"/>
        <w:widowControl w:val="1"/>
      </w:pPr>
      <w:r>
        <w:rPr>
          <w:rFonts w:ascii="Georgia" w:hAnsi="Georgia"/>
          <w:sz w:val="20"/>
        </w:rPr>
        <w:t xml:space="preserve">14. </w:t>
      </w:r>
      <w:bookmarkStart w:id="67"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6">
        <w:r>
          <w:rPr>
            <w:rStyle w:val="Hyperlink"/>
          </w:rPr>
          <w:t xml:space="preserve">arxiv.org/abs/2104.14337</w:t>
        </w:r>
      </w:hyperlink>
      <w:bookmarkEnd w:id="67"/>
    </w:p>
    <w:p>
      <w:pPr>
        <w:pStyle w:val="ReferenceEntry"/>
        <w:numPr>
          <w:ilvl w:val="0"/>
          <w:numId w:val="1002"/>
        </w:numPr>
        <w:spacing w:after="60"/>
        <w:ind w:left="360" w:hanging="259"/>
        <w:jc w:val="left"/>
        <w:keepNext w:val="0"/>
        <w:keepLines w:val="0"/>
        <w:widowControl w:val="1"/>
      </w:pPr>
      <w:r>
        <w:rPr>
          <w:rFonts w:ascii="Georgia" w:hAnsi="Georgia"/>
          <w:sz w:val="20"/>
        </w:rPr>
        <w:t xml:space="preserve">15. </w:t>
      </w:r>
      <w:bookmarkStart w:id="69"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68">
        <w:r>
          <w:rPr>
            <w:rStyle w:val="Hyperlink"/>
          </w:rPr>
          <w:t xml:space="preserve">arxiv.org/abs/2502.01534</w:t>
        </w:r>
      </w:hyperlink>
      <w:bookmarkEnd w:id="69"/>
    </w:p>
    <w:p>
      <w:pPr>
        <w:pStyle w:val="ReferenceEntry"/>
        <w:numPr>
          <w:ilvl w:val="0"/>
          <w:numId w:val="1002"/>
        </w:numPr>
        <w:spacing w:after="60"/>
        <w:ind w:left="360" w:hanging="259"/>
        <w:jc w:val="left"/>
        <w:keepNext w:val="0"/>
        <w:keepLines w:val="0"/>
        <w:widowControl w:val="1"/>
      </w:pPr>
      <w:r>
        <w:rPr>
          <w:rFonts w:ascii="Georgia" w:hAnsi="Georgia"/>
          <w:sz w:val="20"/>
        </w:rPr>
        <w:t xml:space="preserve">16. </w:t>
      </w:r>
      <w:bookmarkStart w:id="71"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0">
        <w:r>
          <w:rPr>
            <w:rStyle w:val="Hyperlink"/>
          </w:rPr>
          <w:t xml:space="preserve">arxiv.org/abs/2508.06709</w:t>
        </w:r>
      </w:hyperlink>
      <w:bookmarkEnd w:id="71"/>
    </w:p>
    <w:p>
      <w:pPr>
        <w:pStyle w:val="ReferenceEntry"/>
        <w:numPr>
          <w:ilvl w:val="0"/>
          <w:numId w:val="1002"/>
        </w:numPr>
        <w:spacing w:after="60"/>
        <w:ind w:left="360" w:hanging="259"/>
        <w:jc w:val="left"/>
        <w:keepNext w:val="0"/>
        <w:keepLines w:val="0"/>
        <w:widowControl w:val="1"/>
      </w:pPr>
      <w:r>
        <w:rPr>
          <w:rFonts w:ascii="Georgia" w:hAnsi="Georgia"/>
          <w:sz w:val="20"/>
        </w:rPr>
        <w:t xml:space="preserve">17. </w:t>
      </w:r>
      <w:bookmarkStart w:id="73"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2">
        <w:r>
          <w:rPr>
            <w:rStyle w:val="Hyperlink"/>
          </w:rPr>
          <w:t xml:space="preserve">arxiv.org/abs/2410.02736</w:t>
        </w:r>
      </w:hyperlink>
      <w:bookmarkEnd w:id="73"/>
    </w:p>
    <w:p>
      <w:pPr>
        <w:pStyle w:val="ReferenceEntry"/>
        <w:numPr>
          <w:ilvl w:val="0"/>
          <w:numId w:val="1002"/>
        </w:numPr>
        <w:spacing w:after="60"/>
        <w:ind w:left="360" w:hanging="259"/>
        <w:jc w:val="left"/>
        <w:keepNext w:val="0"/>
        <w:keepLines w:val="0"/>
        <w:widowControl w:val="1"/>
      </w:pPr>
      <w:r>
        <w:rPr>
          <w:rFonts w:ascii="Georgia" w:hAnsi="Georgia"/>
          <w:sz w:val="20"/>
        </w:rPr>
        <w:t xml:space="preserve">18. </w:t>
      </w:r>
      <w:bookmarkStart w:id="75" w:name="r18"/>
      <w:r>
        <w:t xml:space="preserve">Wataoka, K., Takahashi, T., Ri, R. (2024).</w:t>
      </w:r>
      <w:r>
        <w:t xml:space="preserve"> </w:t>
      </w:r>
      <w:r>
        <w:rPr>
          <w:i/>
          <w:iCs/>
        </w:rPr>
        <w:t xml:space="preserve">Self-Preference Bias in LLM-as-a-Judge.</w:t>
      </w:r>
      <w:r>
        <w:t xml:space="preserve"> </w:t>
      </w:r>
      <w:hyperlink r:id="rId74">
        <w:r>
          <w:rPr>
            <w:rStyle w:val="Hyperlink"/>
          </w:rPr>
          <w:t xml:space="preserve">arxiv.org/abs/2410.21819</w:t>
        </w:r>
      </w:hyperlink>
      <w:bookmarkEnd w:id="75"/>
    </w:p>
    <w:p>
      <w:pPr>
        <w:pStyle w:val="ReferenceEntry"/>
        <w:numPr>
          <w:ilvl w:val="0"/>
          <w:numId w:val="1002"/>
        </w:numPr>
        <w:spacing w:after="60"/>
        <w:ind w:left="360" w:hanging="259"/>
        <w:jc w:val="left"/>
        <w:keepNext w:val="0"/>
        <w:keepLines w:val="0"/>
        <w:widowControl w:val="1"/>
      </w:pPr>
      <w:r>
        <w:rPr>
          <w:rFonts w:ascii="Georgia" w:hAnsi="Georgia"/>
          <w:sz w:val="20"/>
        </w:rPr>
        <w:t xml:space="preserve">19. </w:t>
      </w:r>
      <w:bookmarkStart w:id="77" w:name="r19"/>
      <w:r>
        <w:t xml:space="preserve">Gu, J., Jiang, X., Shi, Z., et al. (2024).</w:t>
      </w:r>
      <w:r>
        <w:t xml:space="preserve"> </w:t>
      </w:r>
      <w:r>
        <w:rPr>
          <w:i/>
          <w:iCs/>
        </w:rPr>
        <w:t xml:space="preserve">A Survey on LLM-as-a-Judge.</w:t>
      </w:r>
      <w:r>
        <w:t xml:space="preserve"> </w:t>
      </w:r>
      <w:hyperlink r:id="rId76">
        <w:r>
          <w:rPr>
            <w:rStyle w:val="Hyperlink"/>
          </w:rPr>
          <w:t xml:space="preserve">arxiv.org/abs/2411.15594</w:t>
        </w:r>
      </w:hyperlink>
      <w:bookmarkEnd w:id="77"/>
    </w:p>
    <w:p>
      <w:pPr>
        <w:pStyle w:val="ReferenceEntry"/>
        <w:numPr>
          <w:ilvl w:val="0"/>
          <w:numId w:val="1002"/>
        </w:numPr>
        <w:spacing w:after="60"/>
        <w:ind w:left="360" w:hanging="259"/>
        <w:jc w:val="left"/>
        <w:keepNext w:val="0"/>
        <w:keepLines w:val="0"/>
        <w:widowControl w:val="1"/>
      </w:pPr>
      <w:r>
        <w:rPr>
          <w:rFonts w:ascii="Georgia" w:hAnsi="Georgia"/>
          <w:sz w:val="20"/>
        </w:rPr>
        <w:t xml:space="preserve">20. </w:t>
      </w:r>
      <w:bookmarkStart w:id="79"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78">
        <w:r>
          <w:rPr>
            <w:rStyle w:val="Hyperlink"/>
          </w:rPr>
          <w:t xml:space="preserve">arxiv.org/abs/2411.16594</w:t>
        </w:r>
      </w:hyperlink>
      <w:bookmarkEnd w:id="79"/>
    </w:p>
    <w:p>
      <w:pPr>
        <w:pStyle w:val="ReferenceEntry"/>
        <w:numPr>
          <w:ilvl w:val="0"/>
          <w:numId w:val="1002"/>
        </w:numPr>
        <w:spacing w:after="60"/>
        <w:ind w:left="360" w:hanging="259"/>
        <w:jc w:val="left"/>
        <w:keepNext w:val="0"/>
        <w:keepLines w:val="0"/>
        <w:widowControl w:val="1"/>
      </w:pPr>
      <w:r>
        <w:rPr>
          <w:rFonts w:ascii="Georgia" w:hAnsi="Georgia"/>
          <w:sz w:val="20"/>
        </w:rPr>
        <w:t xml:space="preserve">21. </w:t>
      </w:r>
      <w:bookmarkStart w:id="81"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0">
        <w:r>
          <w:rPr>
            <w:rStyle w:val="Hyperlink"/>
          </w:rPr>
          <w:t xml:space="preserve">arxiv.org/abs/2308.07201</w:t>
        </w:r>
      </w:hyperlink>
      <w:bookmarkEnd w:id="81"/>
    </w:p>
    <w:p>
      <w:pPr>
        <w:pStyle w:val="ReferenceEntry"/>
        <w:numPr>
          <w:ilvl w:val="0"/>
          <w:numId w:val="1002"/>
        </w:numPr>
        <w:spacing w:after="60"/>
        <w:ind w:left="360" w:hanging="259"/>
        <w:jc w:val="left"/>
        <w:keepNext w:val="0"/>
        <w:keepLines w:val="0"/>
        <w:widowControl w:val="1"/>
      </w:pPr>
      <w:r>
        <w:rPr>
          <w:rFonts w:ascii="Georgia" w:hAnsi="Georgia"/>
          <w:sz w:val="20"/>
        </w:rPr>
        <w:t xml:space="preserve">22. </w:t>
      </w:r>
      <w:bookmarkStart w:id="83"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2">
        <w:r>
          <w:rPr>
            <w:rStyle w:val="Hyperlink"/>
          </w:rPr>
          <w:t xml:space="preserve">arxiv.org/abs/2406.19314</w:t>
        </w:r>
      </w:hyperlink>
      <w:bookmarkEnd w:id="83"/>
    </w:p>
    <w:p>
      <w:pPr>
        <w:pStyle w:val="ReferenceEntry"/>
        <w:numPr>
          <w:ilvl w:val="0"/>
          <w:numId w:val="1002"/>
        </w:numPr>
        <w:spacing w:after="60"/>
        <w:ind w:left="360" w:hanging="259"/>
        <w:jc w:val="left"/>
        <w:keepNext w:val="0"/>
        <w:keepLines w:val="0"/>
        <w:widowControl w:val="1"/>
      </w:pPr>
      <w:r>
        <w:rPr>
          <w:rFonts w:ascii="Georgia" w:hAnsi="Georgia"/>
          <w:sz w:val="20"/>
        </w:rPr>
        <w:t xml:space="preserve">23. </w:t>
      </w:r>
      <w:bookmarkStart w:id="85"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4">
        <w:r>
          <w:rPr>
            <w:rStyle w:val="Hyperlink"/>
          </w:rPr>
          <w:t xml:space="preserve">arxiv.org/abs/2403.07974</w:t>
        </w:r>
      </w:hyperlink>
      <w:bookmarkEnd w:id="85"/>
    </w:p>
    <w:p>
      <w:pPr>
        <w:pStyle w:val="ReferenceEntry"/>
        <w:numPr>
          <w:ilvl w:val="0"/>
          <w:numId w:val="1002"/>
        </w:numPr>
        <w:spacing w:after="60"/>
        <w:ind w:left="360" w:hanging="259"/>
        <w:jc w:val="left"/>
        <w:keepNext w:val="0"/>
        <w:keepLines w:val="0"/>
        <w:widowControl w:val="1"/>
      </w:pPr>
      <w:r>
        <w:rPr>
          <w:rFonts w:ascii="Georgia" w:hAnsi="Georgia"/>
          <w:sz w:val="20"/>
        </w:rPr>
        <w:t xml:space="preserve">24. </w:t>
      </w:r>
      <w:bookmarkStart w:id="87"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6">
        <w:r>
          <w:rPr>
            <w:rStyle w:val="Hyperlink"/>
          </w:rPr>
          <w:t xml:space="preserve">arxiv.org/abs/2504.03846</w:t>
        </w:r>
      </w:hyperlink>
      <w:bookmarkEnd w:id="87"/>
    </w:p>
    <w:p>
      <w:pPr>
        <w:pStyle w:val="ReferenceEntry"/>
        <w:numPr>
          <w:ilvl w:val="0"/>
          <w:numId w:val="1002"/>
        </w:numPr>
        <w:spacing w:after="60"/>
        <w:ind w:left="360" w:hanging="259"/>
        <w:jc w:val="left"/>
        <w:keepNext w:val="0"/>
        <w:keepLines w:val="0"/>
        <w:widowControl w:val="1"/>
      </w:pPr>
      <w:r>
        <w:rPr>
          <w:rFonts w:ascii="Georgia" w:hAnsi="Georgia"/>
          <w:sz w:val="20"/>
        </w:rPr>
        <w:t xml:space="preserve">25. </w:t>
      </w:r>
      <w:bookmarkStart w:id="89"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88">
        <w:r>
          <w:rPr>
            <w:rStyle w:val="Hyperlink"/>
          </w:rPr>
          <w:t xml:space="preserve">arxiv.org/abs/2408.08808</w:t>
        </w:r>
      </w:hyperlink>
      <w:bookmarkEnd w:id="89"/>
    </w:p>
    <w:p>
      <w:pPr>
        <w:pStyle w:val="ReferenceEntry"/>
        <w:numPr>
          <w:ilvl w:val="0"/>
          <w:numId w:val="1002"/>
        </w:numPr>
        <w:spacing w:after="60"/>
        <w:ind w:left="360" w:hanging="259"/>
        <w:jc w:val="left"/>
        <w:keepNext w:val="0"/>
        <w:keepLines w:val="0"/>
        <w:widowControl w:val="1"/>
      </w:pPr>
      <w:r>
        <w:rPr>
          <w:rFonts w:ascii="Georgia" w:hAnsi="Georgia"/>
          <w:sz w:val="20"/>
        </w:rPr>
        <w:t xml:space="preserve">26. </w:t>
      </w:r>
      <w:bookmarkStart w:id="91" w:name="r26"/>
      <w:r>
        <w:t xml:space="preserve">Li, Y., et al. (2025).</w:t>
      </w:r>
      <w:r>
        <w:t xml:space="preserve"> </w:t>
      </w:r>
      <w:r>
        <w:rPr>
          <w:i/>
          <w:iCs/>
        </w:rPr>
        <w:t xml:space="preserve">Leveraging LLMs as Meta-Judges: A Multi-Agent Framework.</w:t>
      </w:r>
      <w:r>
        <w:t xml:space="preserve"> </w:t>
      </w:r>
      <w:hyperlink r:id="rId90">
        <w:r>
          <w:rPr>
            <w:rStyle w:val="Hyperlink"/>
          </w:rPr>
          <w:t xml:space="preserve">arxiv.org/abs/2504.17087</w:t>
        </w:r>
      </w:hyperlink>
      <w:bookmarkEnd w:id="91"/>
    </w:p>
    <w:p>
      <w:pPr>
        <w:pStyle w:val="ReferenceEntry"/>
        <w:numPr>
          <w:ilvl w:val="0"/>
          <w:numId w:val="1002"/>
        </w:numPr>
        <w:spacing w:after="60"/>
        <w:ind w:left="360" w:hanging="259"/>
        <w:jc w:val="left"/>
        <w:keepNext w:val="0"/>
        <w:keepLines w:val="0"/>
        <w:widowControl w:val="1"/>
      </w:pPr>
      <w:r>
        <w:rPr>
          <w:rFonts w:ascii="Georgia" w:hAnsi="Georgia"/>
          <w:sz w:val="20"/>
        </w:rPr>
        <w:t xml:space="preserve">27. </w:t>
      </w:r>
      <w:bookmarkStart w:id="93"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2">
        <w:r>
          <w:rPr>
            <w:rStyle w:val="Hyperlink"/>
          </w:rPr>
          <w:t xml:space="preserve">arxiv.org/abs/2602.16610</w:t>
        </w:r>
      </w:hyperlink>
      <w:bookmarkEnd w:id="93"/>
    </w:p>
    <w:p>
      <w:pPr>
        <w:pStyle w:val="ReferenceEntry"/>
        <w:numPr>
          <w:ilvl w:val="0"/>
          <w:numId w:val="1002"/>
        </w:numPr>
        <w:spacing w:after="60"/>
        <w:ind w:left="360" w:hanging="259"/>
        <w:jc w:val="left"/>
        <w:keepNext w:val="0"/>
        <w:keepLines w:val="0"/>
        <w:widowControl w:val="1"/>
      </w:pPr>
      <w:r>
        <w:rPr>
          <w:rFonts w:ascii="Georgia" w:hAnsi="Georgia"/>
          <w:sz w:val="20"/>
        </w:rPr>
        <w:t xml:space="preserve">28. </w:t>
      </w:r>
      <w:bookmarkStart w:id="95"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4">
        <w:r>
          <w:rPr>
            <w:rStyle w:val="Hyperlink"/>
          </w:rPr>
          <w:t xml:space="preserve">arxiv.org/abs/2603.00039</w:t>
        </w:r>
      </w:hyperlink>
      <w:bookmarkEnd w:id="95"/>
    </w:p>
    <w:p>
      <w:pPr>
        <w:pStyle w:val="ReferenceEntry"/>
        <w:numPr>
          <w:ilvl w:val="0"/>
          <w:numId w:val="1002"/>
        </w:numPr>
        <w:spacing w:after="60"/>
        <w:ind w:left="360" w:hanging="259"/>
        <w:jc w:val="left"/>
        <w:keepNext w:val="0"/>
        <w:keepLines w:val="0"/>
        <w:widowControl w:val="1"/>
      </w:pPr>
      <w:r>
        <w:rPr>
          <w:rFonts w:ascii="Georgia" w:hAnsi="Georgia"/>
          <w:sz w:val="20"/>
        </w:rPr>
        <w:t xml:space="preserve">29. </w:t>
      </w:r>
      <w:bookmarkStart w:id="97"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6">
        <w:r>
          <w:rPr>
            <w:rStyle w:val="Hyperlink"/>
          </w:rPr>
          <w:t xml:space="preserve">arxiv.org/abs/2601.21817</w:t>
        </w:r>
      </w:hyperlink>
      <w:bookmarkEnd w:id="97"/>
    </w:p>
    <w:p>
      <w:pPr>
        <w:pStyle w:val="ReferenceEntry"/>
        <w:numPr>
          <w:ilvl w:val="0"/>
          <w:numId w:val="1002"/>
        </w:numPr>
        <w:spacing w:after="60"/>
        <w:ind w:left="360" w:hanging="259"/>
        <w:jc w:val="left"/>
        <w:keepNext w:val="0"/>
        <w:keepLines w:val="0"/>
        <w:widowControl w:val="1"/>
      </w:pPr>
      <w:r>
        <w:rPr>
          <w:rFonts w:ascii="Georgia" w:hAnsi="Georgia"/>
          <w:sz w:val="20"/>
        </w:rPr>
        <w:t xml:space="preserve">30. </w:t>
      </w:r>
      <w:bookmarkStart w:id="99"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98">
        <w:r>
          <w:rPr>
            <w:rStyle w:val="Hyperlink"/>
          </w:rPr>
          <w:t xml:space="preserve">arxiv.org/abs/2502.14678</w:t>
        </w:r>
      </w:hyperlink>
      <w:bookmarkEnd w:id="99"/>
    </w:p>
    <w:p>
      <w:pPr>
        <w:pStyle w:val="ReferenceEntry"/>
        <w:numPr>
          <w:ilvl w:val="0"/>
          <w:numId w:val="1002"/>
        </w:numPr>
        <w:spacing w:after="60"/>
        <w:ind w:left="360" w:hanging="259"/>
        <w:jc w:val="left"/>
        <w:keepNext w:val="0"/>
        <w:keepLines w:val="0"/>
        <w:widowControl w:val="1"/>
      </w:pPr>
      <w:r>
        <w:rPr>
          <w:rFonts w:ascii="Georgia" w:hAnsi="Georgia"/>
          <w:sz w:val="20"/>
        </w:rPr>
        <w:t xml:space="preserve">31. </w:t>
      </w:r>
      <w:bookmarkStart w:id="101"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0">
        <w:r>
          <w:rPr>
            <w:rStyle w:val="Hyperlink"/>
          </w:rPr>
          <w:t xml:space="preserve">arxiv.org/abs/2501.12789</w:t>
        </w:r>
      </w:hyperlink>
      <w:bookmarkEnd w:id="101"/>
    </w:p>
    <w:p>
      <w:pPr>
        <w:pStyle w:val="ReferenceEntry"/>
        <w:numPr>
          <w:ilvl w:val="0"/>
          <w:numId w:val="1002"/>
        </w:numPr>
        <w:spacing w:after="60"/>
        <w:ind w:left="360" w:hanging="259"/>
        <w:jc w:val="left"/>
        <w:keepNext w:val="0"/>
        <w:keepLines w:val="0"/>
        <w:widowControl w:val="1"/>
      </w:pPr>
      <w:r>
        <w:rPr>
          <w:rFonts w:ascii="Georgia" w:hAnsi="Georgia"/>
          <w:sz w:val="20"/>
        </w:rPr>
        <w:t xml:space="preserve">32. </w:t>
      </w:r>
      <w:bookmarkStart w:id="103"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2">
        <w:r>
          <w:rPr>
            <w:rStyle w:val="Hyperlink"/>
          </w:rPr>
          <w:t xml:space="preserve">arxiv.org/abs/2502.17521</w:t>
        </w:r>
      </w:hyperlink>
      <w:bookmarkEnd w:id="103"/>
    </w:p>
    <w:p>
      <w:pPr>
        <w:pStyle w:val="ReferenceEntry"/>
        <w:numPr>
          <w:ilvl w:val="0"/>
          <w:numId w:val="1002"/>
        </w:numPr>
        <w:spacing w:after="60"/>
        <w:ind w:left="360" w:hanging="259"/>
        <w:jc w:val="left"/>
        <w:keepNext w:val="0"/>
        <w:keepLines w:val="0"/>
        <w:widowControl w:val="1"/>
      </w:pPr>
      <w:r>
        <w:rPr>
          <w:rFonts w:ascii="Georgia" w:hAnsi="Georgia"/>
          <w:sz w:val="20"/>
        </w:rPr>
        <w:t xml:space="preserve">33. </w:t>
      </w:r>
      <w:bookmarkStart w:id="105"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4">
        <w:r>
          <w:rPr>
            <w:rStyle w:val="Hyperlink"/>
          </w:rPr>
          <w:t xml:space="preserve">doi.org/10.2307/2346806</w:t>
        </w:r>
      </w:hyperlink>
      <w:bookmarkEnd w:id="105"/>
    </w:p>
    <w:p>
      <w:pPr>
        <w:pStyle w:val="ReferenceEntry"/>
        <w:numPr>
          <w:ilvl w:val="0"/>
          <w:numId w:val="1002"/>
        </w:numPr>
        <w:spacing w:after="60"/>
        <w:ind w:left="360" w:hanging="259"/>
        <w:jc w:val="left"/>
        <w:keepNext w:val="0"/>
        <w:keepLines w:val="0"/>
        <w:widowControl w:val="1"/>
      </w:pPr>
      <w:r>
        <w:rPr>
          <w:rFonts w:ascii="Georgia" w:hAnsi="Georgia"/>
          <w:sz w:val="20"/>
        </w:rPr>
        <w:t xml:space="preserve">34. </w:t>
      </w:r>
      <w:bookmarkStart w:id="107" w:name="r34"/>
      <w:r>
        <w:t xml:space="preserve">Wang, Y., Yu, Z., Zeng, Z., et al. (2024).</w:t>
      </w:r>
      <w:r>
        <w:t xml:space="preserve"> </w:t>
      </w:r>
      <w:r>
        <w:rPr>
          <w:i/>
          <w:iCs/>
        </w:rPr>
        <w:t xml:space="preserve">PandaLM: An Automatic Evaluation Benchmark for LLM</w:t>
      </w:r>
      <w:r>
        <w:rPr>
          <w:i/>
          <w:iCs/>
        </w:rPr>
        <w:t xml:space="preserve"> </w:t>
      </w:r>
      <w:r>
        <w:rPr>
          <w:i/>
          <w:iCs/>
        </w:rPr>
        <w:t xml:space="preserve">Instruction Tuning Optimization.</w:t>
      </w:r>
      <w:r>
        <w:t xml:space="preserve"> </w:t>
      </w:r>
      <w:r>
        <w:t xml:space="preserve">ICLR.</w:t>
      </w:r>
      <w:r>
        <w:t xml:space="preserve"> </w:t>
      </w:r>
      <w:hyperlink r:id="rId106">
        <w:r>
          <w:rPr>
            <w:rStyle w:val="Hyperlink"/>
          </w:rPr>
          <w:t xml:space="preserve">arxiv.org/abs/2306.05087</w:t>
        </w:r>
      </w:hyperlink>
      <w:bookmarkEnd w:id="107"/>
    </w:p>
    <w:p>
      <w:pPr>
        <w:pStyle w:val="ReferenceEntry"/>
        <w:numPr>
          <w:ilvl w:val="0"/>
          <w:numId w:val="1002"/>
        </w:numPr>
        <w:spacing w:after="60"/>
        <w:ind w:left="360" w:hanging="259"/>
        <w:jc w:val="left"/>
        <w:keepNext w:val="0"/>
        <w:keepLines w:val="0"/>
        <w:widowControl w:val="1"/>
      </w:pPr>
      <w:r>
        <w:rPr>
          <w:rFonts w:ascii="Georgia" w:hAnsi="Georgia"/>
          <w:sz w:val="20"/>
        </w:rPr>
        <w:t xml:space="preserve">35. </w:t>
      </w:r>
      <w:bookmarkStart w:id="109" w:name="r35"/>
      <w:r>
        <w:t xml:space="preserve">Zhu, L., Wang, X., Wang, X. (2023).</w:t>
      </w:r>
      <w:r>
        <w:t xml:space="preserve"> </w:t>
      </w:r>
      <w:r>
        <w:rPr>
          <w:i/>
          <w:iCs/>
        </w:rPr>
        <w:t xml:space="preserve">JudgeLM: Fine-tuned Large Language Models are Scalable</w:t>
      </w:r>
      <w:r>
        <w:rPr>
          <w:i/>
          <w:iCs/>
        </w:rPr>
        <w:t xml:space="preserve"> </w:t>
      </w:r>
      <w:r>
        <w:rPr>
          <w:i/>
          <w:iCs/>
        </w:rPr>
        <w:t xml:space="preserve">Judges.</w:t>
      </w:r>
      <w:r>
        <w:t xml:space="preserve"> </w:t>
      </w:r>
      <w:hyperlink r:id="rId108">
        <w:r>
          <w:rPr>
            <w:rStyle w:val="Hyperlink"/>
          </w:rPr>
          <w:t xml:space="preserve">arxiv.org/abs/2310.17631</w:t>
        </w:r>
      </w:hyperlink>
      <w:bookmarkEnd w:id="109"/>
    </w:p>
    <w:p>
      <w:pPr>
        <w:pStyle w:val="ReferenceEntry"/>
        <w:numPr>
          <w:ilvl w:val="0"/>
          <w:numId w:val="1002"/>
        </w:numPr>
        <w:spacing w:after="60"/>
        <w:ind w:left="360" w:hanging="259"/>
        <w:jc w:val="left"/>
        <w:keepNext w:val="0"/>
        <w:keepLines w:val="0"/>
        <w:widowControl w:val="1"/>
      </w:pPr>
      <w:r>
        <w:rPr>
          <w:rFonts w:ascii="Georgia" w:hAnsi="Georgia"/>
          <w:sz w:val="20"/>
        </w:rPr>
        <w:t xml:space="preserve">36. </w:t>
      </w:r>
      <w:bookmarkStart w:id="111" w:name="r36"/>
      <w:r>
        <w:t xml:space="preserve">Shi, W., Ajith, A., Xia, M., et al. (2024).</w:t>
      </w:r>
      <w:r>
        <w:t xml:space="preserve"> </w:t>
      </w:r>
      <w:r>
        <w:rPr>
          <w:i/>
          <w:iCs/>
        </w:rPr>
        <w:t xml:space="preserve">Detecting Pretraining Data from Large Language</w:t>
      </w:r>
      <w:r>
        <w:rPr>
          <w:i/>
          <w:iCs/>
        </w:rPr>
        <w:t xml:space="preserve"> </w:t>
      </w:r>
      <w:r>
        <w:rPr>
          <w:i/>
          <w:iCs/>
        </w:rPr>
        <w:t xml:space="preserve">Models.</w:t>
      </w:r>
      <w:r>
        <w:t xml:space="preserve"> </w:t>
      </w:r>
      <w:r>
        <w:t xml:space="preserve">ICLR.</w:t>
      </w:r>
      <w:r>
        <w:t xml:space="preserve"> </w:t>
      </w:r>
      <w:hyperlink r:id="rId110">
        <w:r>
          <w:rPr>
            <w:rStyle w:val="Hyperlink"/>
          </w:rPr>
          <w:t xml:space="preserve">arxiv.org/abs/2310.16789</w:t>
        </w:r>
      </w:hyperlink>
      <w:bookmarkEnd w:id="111"/>
    </w:p>
    <w:p>
      <w:pPr>
        <w:pStyle w:val="ReferenceEntry"/>
        <w:numPr>
          <w:ilvl w:val="0"/>
          <w:numId w:val="1002"/>
        </w:numPr>
        <w:spacing w:after="60"/>
        <w:ind w:left="360" w:hanging="259"/>
        <w:jc w:val="left"/>
        <w:keepNext w:val="0"/>
        <w:keepLines w:val="0"/>
        <w:widowControl w:val="1"/>
      </w:pPr>
      <w:r>
        <w:rPr>
          <w:rFonts w:ascii="Georgia" w:hAnsi="Georgia"/>
          <w:sz w:val="20"/>
        </w:rPr>
        <w:t xml:space="preserve">37. </w:t>
      </w:r>
      <w:bookmarkStart w:id="113" w:name="r37"/>
      <w:r>
        <w:t xml:space="preserve">Fabbri, A. R., Kryściński, W., McCann, B., Xiong, C., Socher, R., Radev, D. (2021).</w:t>
      </w:r>
      <w:r>
        <w:t xml:space="preserve"> </w:t>
      </w:r>
      <w:r>
        <w:rPr>
          <w:i/>
          <w:iCs/>
        </w:rPr>
        <w:t xml:space="preserve">SummEval: Re-evaluating Summarization Evaluation.</w:t>
      </w:r>
      <w:r>
        <w:t xml:space="preserve"> </w:t>
      </w:r>
      <w:r>
        <w:t xml:space="preserve">Transactions of the Association for Computational</w:t>
      </w:r>
      <w:r>
        <w:t xml:space="preserve"> </w:t>
      </w:r>
      <w:r>
        <w:t xml:space="preserve">Linguistics, 9, 391–409.</w:t>
      </w:r>
      <w:r>
        <w:t xml:space="preserve"> </w:t>
      </w:r>
      <w:hyperlink r:id="rId112">
        <w:r>
          <w:rPr>
            <w:rStyle w:val="Hyperlink"/>
          </w:rPr>
          <w:t xml:space="preserve">arxiv.org/abs/2007.12626</w:t>
        </w:r>
      </w:hyperlink>
      <w:bookmarkEnd w:id="113"/>
    </w:p>
    <w:p>
      <w:pPr>
        <w:pStyle w:val="ReferenceEntry"/>
        <w:numPr>
          <w:ilvl w:val="0"/>
          <w:numId w:val="1002"/>
        </w:numPr>
        <w:spacing w:after="60"/>
        <w:ind w:left="360" w:hanging="259"/>
        <w:jc w:val="left"/>
        <w:keepNext w:val="0"/>
        <w:keepLines w:val="0"/>
        <w:widowControl w:val="1"/>
      </w:pPr>
      <w:r>
        <w:rPr>
          <w:rFonts w:ascii="Georgia" w:hAnsi="Georgia"/>
          <w:sz w:val="20"/>
        </w:rPr>
        <w:t xml:space="preserve">38. </w:t>
      </w:r>
      <w:bookmarkStart w:id="115" w:name="r38"/>
      <w:r>
        <w:t xml:space="preserve">Zeng, Z., Yu, J., Gao, T., Meng, Y., Goyal, T., Chen, D. (2024).</w:t>
      </w:r>
      <w:r>
        <w:t xml:space="preserve"> </w:t>
      </w:r>
      <w:r>
        <w:rPr>
          <w:i/>
          <w:iCs/>
        </w:rPr>
        <w:t xml:space="preserve">Evaluating Large Language</w:t>
      </w:r>
      <w:r>
        <w:rPr>
          <w:i/>
          <w:iCs/>
        </w:rPr>
        <w:t xml:space="preserve"> </w:t>
      </w:r>
      <w:r>
        <w:rPr>
          <w:i/>
          <w:iCs/>
        </w:rPr>
        <w:t xml:space="preserve">Models at Evaluating Instruction Following.</w:t>
      </w:r>
      <w:r>
        <w:t xml:space="preserve"> </w:t>
      </w:r>
      <w:r>
        <w:t xml:space="preserve">ICLR.</w:t>
      </w:r>
      <w:r>
        <w:t xml:space="preserve"> </w:t>
      </w:r>
      <w:hyperlink r:id="rId114">
        <w:r>
          <w:rPr>
            <w:rStyle w:val="Hyperlink"/>
          </w:rPr>
          <w:t xml:space="preserve">arxiv.org/abs/2310.07641</w:t>
        </w:r>
      </w:hyperlink>
      <w:bookmarkEnd w:id="115"/>
    </w:p>
    <w:bookmarkEnd w:id="116"/>
    <w:bookmarkStart w:id="117"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7"/>
    <w:bookmarkStart w:id="121"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119" name="Picture"/>
            <a:graphic>
              <a:graphicData uri="http://schemas.openxmlformats.org/drawingml/2006/picture">
                <pic:pic>
                  <pic:nvPicPr>
                    <pic:cNvPr descr="figures/f5_rubric_heatmap.png" id="120" name="Picture"/>
                    <pic:cNvPicPr>
                      <a:picLocks noChangeArrowheads="1" noChangeAspect="1"/>
                    </pic:cNvPicPr>
                  </pic:nvPicPr>
                  <pic:blipFill>
                    <a:blip r:embed="rId118"/>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Pairwise semantic similarity of the 22 auto-generated rubric criteria across four tasks. Block structure along the diagonal reflects task specialization (within-task 0.342 &gt; cross-task 0.294), while a recurring “completeness” dimension forms a cross-task cluster.</w:t>
      </w:r>
    </w:p>
    <w:bookmarkEnd w:id="121"/>
    <w:bookmarkStart w:id="122" w:name="appC"/>
    <w:p>
      <w:pPr>
        <w:pStyle w:val="Heading2"/>
        <w:keepNext/>
        <w:keepLines/>
        <w:widowControl w:val="1"/>
      </w:pPr>
      <w:r>
        <w:t xml:space="preserve">Appendix C. Worked examples on data-scarce domains</w:t>
      </w:r>
    </w:p>
    <w:p>
      <w:pPr>
        <w:pStyle w:val="FirstParagraph"/>
        <w:jc w:val="both"/>
        <w:keepNext w:val="0"/>
        <w:keepLines w:val="0"/>
        <w:widowControl w:val="1"/>
      </w:pPr>
      <w:r>
        <w:t xml:space="preserve">The three verticals of Section 5.4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5).</w:t>
      </w:r>
    </w:p>
    <w:p>
      <w:pPr>
        <w:pStyle w:val="BodyText"/>
        <w:jc w:val="both"/>
        <w:keepNext w:val="0"/>
        <w:keepLines w:val="0"/>
        <w:widowControl w:val="1"/>
      </w:pPr>
      <w:r>
        <w:t xml:space="preserve">The pipeline is four templated calls to the teacher, all instantiated from the one-line</w:t>
      </w:r>
      <w:r>
        <w:t xml:space="preserve"> </w:t>
      </w:r>
      <w:r>
        <w:rPr>
          <w:rStyle w:val="VerbatimChar"/>
        </w:rPr>
        <w:t xml:space="preserve">task_description</w:t>
      </w:r>
      <w:r>
        <w:t xml:space="preserve"> </w:t>
      </w:r>
      <w:r>
        <w:t xml:space="preserve">(and an optional</w:t>
      </w:r>
      <w:r>
        <w:t xml:space="preserve"> </w:t>
      </w:r>
      <w:r>
        <w:rPr>
          <w:rStyle w:val="VerbatimChar"/>
        </w:rPr>
        <w:t xml:space="preserve">output_description</w:t>
      </w:r>
      <w:r>
        <w:t xml:space="preserve">). The first two build the attribute</w:t>
      </w:r>
      <w:r>
        <w:t xml:space="preserve"> </w:t>
      </w:r>
      <w:r>
        <w:t xml:space="preserve">space the items are stratified over; the third writes the rubric the panel scores against; the fourth generates one</w:t>
      </w:r>
      <w:r>
        <w:t xml:space="preserve"> </w:t>
      </w:r>
      <w:r>
        <w:t xml:space="preserve">contamination-free item per sampled attribute cell. The templates below are the verbatim framework prompts; a sampled</w:t>
      </w:r>
      <w:r>
        <w:t xml:space="preserve"> </w:t>
      </w:r>
      <w:r>
        <w:t xml:space="preserve">cell such as</w:t>
      </w:r>
      <w:r>
        <w:t xml:space="preserve"> </w:t>
      </w:r>
      <w:r>
        <w:rPr>
          <w:i/>
          <w:iCs/>
        </w:rPr>
        <w:t xml:space="preserve">severity = moderate, mechanism = pharmacokinetic, patient_context = pregnancy</w:t>
      </w:r>
      <w:r>
        <w:t xml:space="preserve"> </w:t>
      </w:r>
      <w:r>
        <w:t xml:space="preserve">is what binds</w:t>
      </w:r>
      <w:r>
        <w:t xml:space="preserve"> </w:t>
      </w:r>
      <w:r>
        <w:rPr>
          <w:rStyle w:val="VerbatimChar"/>
        </w:rPr>
        <w:t xml:space="preserve">{target_attributes}</w:t>
      </w:r>
      <w:r>
        <w:t xml:space="preserve"> </w:t>
      </w:r>
      <w:r>
        <w:t xml:space="preserve">and yields the corresponding DDI item shown after Table C1.</w:t>
      </w:r>
    </w:p>
    <w:p>
      <w:pPr>
        <w:pStyle w:val="BodyText"/>
        <w:jc w:val="both"/>
        <w:keepNext w:val="0"/>
        <w:keepLines w:val="0"/>
        <w:widowControl w:val="1"/>
      </w:pPr>
      <w:r>
        <w:rPr>
          <w:b/>
          <w:bCs/>
        </w:rPr>
        <w:t xml:space="preserve">(1) Target-attribute map.</w:t>
      </w:r>
      <w:r>
        <w:t xml:space="preserve"> </w:t>
      </w:r>
      <w:r>
        <w:t xml:space="preserve">Define the axes the benchmark varies over.</w:t>
      </w:r>
    </w:p>
    <w:p>
      <w:pPr>
        <w:pStyle w:val="BodyText"/>
        <w:jc w:val="both"/>
        <w:keepNext w:val="0"/>
        <w:keepLines w:val="0"/>
        <w:widowControl w:val="1"/>
      </w:pPr>
      <w:r>
        <w:rPr>
          <w:rStyle w:val="VerbatimChar"/>
        </w:rPr>
        <w:t xml:space="preserve">Generate synthetic data specifications for the {task_description} task by defining an</w:t>
      </w:r>
      <w:r>
        <w:br/>
      </w:r>
      <w:r>
        <w:rPr>
          <w:rStyle w:val="VerbatimChar"/>
        </w:rPr>
        <w:t xml:space="preserve">attribute space that characterizes possible outputs. Return a JSON object mapping each</w:t>
      </w:r>
      <w:r>
        <w:br/>
      </w:r>
      <w:r>
        <w:rPr>
          <w:rStyle w:val="VerbatimChar"/>
        </w:rPr>
        <w:t xml:space="preserve">attribute name to a list of possible values, and output only the JSON.</w:t>
      </w:r>
    </w:p>
    <w:p>
      <w:pPr>
        <w:pStyle w:val="FirstParagraph"/>
        <w:jc w:val="both"/>
        <w:keepNext w:val="0"/>
        <w:keepLines w:val="0"/>
        <w:widowControl w:val="1"/>
      </w:pPr>
      <w:r>
        <w:rPr>
          <w:b/>
          <w:bCs/>
        </w:rPr>
        <w:t xml:space="preserve">(2) Nuance map.</w:t>
      </w:r>
      <w:r>
        <w:t xml:space="preserve"> </w:t>
      </w:r>
      <w:r>
        <w:t xml:space="preserve">Add surface-variation axes that change phrasing without changing the answer.</w:t>
      </w:r>
    </w:p>
    <w:p>
      <w:pPr>
        <w:pStyle w:val="BodyText"/>
        <w:jc w:val="both"/>
        <w:keepNext w:val="0"/>
        <w:keepLines w:val="0"/>
        <w:widowControl w:val="1"/>
      </w:pPr>
      <w:r>
        <w:rPr>
          <w:rStyle w:val="VerbatimChar"/>
        </w:rPr>
        <w:t xml:space="preserve">Define synthetic data specifications for the {task_description} task by creating a nuanced</w:t>
      </w:r>
      <w:r>
        <w:br/>
      </w:r>
      <w:r>
        <w:rPr>
          <w:rStyle w:val="VerbatimChar"/>
        </w:rPr>
        <w:t xml:space="preserve">variability-focused attribute space. Include only attributes that change document phrasing,</w:t>
      </w:r>
      <w:r>
        <w:br/>
      </w:r>
      <w:r>
        <w:rPr>
          <w:rStyle w:val="VerbatimChar"/>
        </w:rPr>
        <w:t xml:space="preserve">structure, noise, and context, without changing the underlying outputs. Return a single JSON</w:t>
      </w:r>
      <w:r>
        <w:br/>
      </w:r>
      <w:r>
        <w:rPr>
          <w:rStyle w:val="VerbatimChar"/>
        </w:rPr>
        <w:t xml:space="preserve">object mapping each attribute name to a list of allowed values, and output only the JSON.</w:t>
      </w:r>
    </w:p>
    <w:p>
      <w:pPr>
        <w:pStyle w:val="FirstParagraph"/>
        <w:jc w:val="both"/>
        <w:keepNext w:val="0"/>
        <w:keepLines w:val="0"/>
        <w:widowControl w:val="1"/>
      </w:pPr>
      <w:r>
        <w:rPr>
          <w:b/>
          <w:bCs/>
        </w:rPr>
        <w:t xml:space="preserve">(3) Auto-rubric.</w:t>
      </w:r>
      <w:r>
        <w:t xml:space="preserve"> </w:t>
      </w:r>
      <w:r>
        <w:t xml:space="preserve">Write the task-specific scoring factors the judges apply.</w:t>
      </w:r>
    </w:p>
    <w:p>
      <w:pPr>
        <w:pStyle w:val="BodyText"/>
        <w:jc w:val="both"/>
        <w:keepNext w:val="0"/>
        <w:keepLines w:val="0"/>
        <w:widowControl w:val="1"/>
      </w:pPr>
      <w:r>
        <w:rPr>
          <w:rStyle w:val="VerbatimChar"/>
        </w:rPr>
        <w:t xml:space="preserve">For the task {task_description}, where the model's output is {output_description}, create an</w:t>
      </w:r>
      <w:r>
        <w:br/>
      </w:r>
      <w:r>
        <w:rPr>
          <w:rStyle w:val="VerbatimChar"/>
        </w:rPr>
        <w:t xml:space="preserve">evaluation rubric. Return only a JSON object where each key is a quality factor, and each</w:t>
      </w:r>
      <w:r>
        <w:br/>
      </w:r>
      <w:r>
        <w:rPr>
          <w:rStyle w:val="VerbatimChar"/>
        </w:rPr>
        <w:t xml:space="preserve">value is a concise description of that factor. Output only the JSON.</w:t>
      </w:r>
    </w:p>
    <w:p>
      <w:pPr>
        <w:pStyle w:val="FirstParagraph"/>
        <w:jc w:val="both"/>
        <w:keepNext w:val="0"/>
        <w:keepLines w:val="0"/>
        <w:widowControl w:val="1"/>
      </w:pPr>
      <w:r>
        <w:rPr>
          <w:b/>
          <w:bCs/>
        </w:rPr>
        <w:t xml:space="preserve">(4) Item synthesis.</w:t>
      </w:r>
      <w:r>
        <w:t xml:space="preserve"> </w:t>
      </w:r>
      <w:r>
        <w:t xml:space="preserve">Generate one realistic item for a sampled attribute cell.</w:t>
      </w:r>
    </w:p>
    <w:p>
      <w:pPr>
        <w:pStyle w:val="BodyText"/>
        <w:jc w:val="both"/>
        <w:keepNext w:val="0"/>
        <w:keepLines w:val="0"/>
        <w:widowControl w:val="1"/>
      </w:pPr>
      <w:r>
        <w:rPr>
          <w:rStyle w:val="VerbatimChar"/>
        </w:rPr>
        <w:t xml:space="preserve">Generate a realistic benchmark data point.</w:t>
      </w:r>
      <w:r>
        <w:br/>
      </w:r>
      <w:r>
        <w:rPr>
          <w:rStyle w:val="VerbatimChar"/>
        </w:rPr>
        <w:t xml:space="preserve">Task: {task_description}</w:t>
      </w:r>
      <w:r>
        <w:br/>
      </w:r>
      <w:r>
        <w:rPr>
          <w:rStyle w:val="VerbatimChar"/>
        </w:rPr>
        <w:t xml:space="preserve">Output format: {output_description}</w:t>
      </w:r>
      <w:r>
        <w:br/>
      </w:r>
      <w:r>
        <w:rPr>
          <w:rStyle w:val="VerbatimChar"/>
        </w:rPr>
        <w:t xml:space="preserve">Required attributes: {target_attributes}</w:t>
      </w:r>
      <w:r>
        <w:br/>
      </w:r>
      <w:r>
        <w:rPr>
          <w:rStyle w:val="VerbatimChar"/>
        </w:rPr>
        <w:t xml:space="preserve">Nuance: {nuanced_attributes}</w:t>
      </w:r>
      <w:r>
        <w:br/>
      </w:r>
      <w:r>
        <w:br/>
      </w:r>
      <w:r>
        <w:rPr>
          <w:rStyle w:val="VerbatimChar"/>
        </w:rPr>
        <w:t xml:space="preserve">Return only a JSON object with exactly two string keys:</w:t>
      </w:r>
      <w:r>
        <w:br/>
      </w:r>
      <w:r>
        <w:rPr>
          <w:rStyle w:val="VerbatimChar"/>
        </w:rPr>
        <w:t xml:space="preserve">  "prompt":   a realistic input text for the task</w:t>
      </w:r>
      <w:r>
        <w:br/>
      </w:r>
      <w:r>
        <w:rPr>
          <w:rStyle w:val="VerbatimChar"/>
        </w:rPr>
        <w:t xml:space="preserve">  "response": the expected output for that input</w:t>
      </w:r>
      <w:r>
        <w:br/>
      </w:r>
      <w:r>
        <w:rPr>
          <w:rStyle w:val="VerbatimChar"/>
        </w:rPr>
        <w:t xml:space="preserve">Output only the JSON. No explanation or markdown.</w:t>
      </w:r>
    </w:p>
    <w:p>
      <w:pPr>
        <w:pStyle w:val="FirstParagraph"/>
        <w:jc w:val="both"/>
        <w:keepNext w:val="0"/>
        <w:keepLines w:val="0"/>
        <w:widowControl w:val="1"/>
      </w:pPr>
      <w:r>
        <w:t xml:space="preserve">Running this pipeline on the three one-line seeds below produces the auto-generated attribute strata and rubrics in</w:t>
      </w:r>
      <w:r>
        <w:t xml:space="preserve"> </w:t>
      </w:r>
      <w:r>
        <w:t xml:space="preserve">Table C1, and the verbatim items that follow it.</w:t>
      </w:r>
    </w:p>
    <w:p>
      <w:pPr>
        <w:pStyle w:val="TableCaption"/>
        <w:spacing w:before="280" w:after="60" w:line="240" w:lineRule="auto"/>
        <w:jc w:val="center"/>
        <w:keepNext/>
        <w:keepLines/>
        <w:widowControl w:val="1"/>
      </w:pPr>
      <w:r>
        <w:rPr>
          <w:b/>
          <w:i/>
        </w:rPr>
        <w:t>Table C1.</w:t>
      </w:r>
      <w:r>
        <w:rPr>
          <w:b w:val="0"/>
          <w:i/>
        </w:rPr>
        <w:t xml:space="preserve"> </w:t>
      </w:r>
      <w:r>
        <w:rPr>
          <w:b w:val="0"/>
          <w:i/>
        </w:rPr>
        <w:t>From a one-line description to a scored benchmark, for three domains with no public labeled data. The attribute strata and rubric criteria are auto-generated by the teacher; each domain yields 40 stratified, contamination-free items, scored by the cross-family panel.</w:t>
      </w:r>
    </w:p>
    <w:tbl>
      <w:tblPr>
        <w:tblStyle w:val="Table"/>
        <w:tblW w:type="pct" w:w="5000"/>
        <w:jc w:val="center"/>
        <w:tblLayout w:type="autofit"/>
        <w:tblLook w:firstRow="1" w:lastRow="0" w:firstColumn="0" w:lastColumn="0" w:noHBand="0" w:noVBand="0" w:val="0020"/>
        <w:tblCaption w:val="Table C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Drug–drug interaction reasoning</w:t>
            </w:r>
            <w:r>
              <w:rPr>
                <w:rFonts w:ascii="Georgia" w:hAnsi="Georgia"/>
                <w:sz w:val="19"/>
              </w:rPr>
              <w:br/>
            </w:r>
            <w:r>
              <w:rPr>
                <w:rFonts w:ascii="Georgia" w:hAnsi="Georgia"/>
                <w:i/>
                <w:iCs/>
                <w:sz w:val="19"/>
              </w:rPr>
              <w:t xml:space="preserve">"given two or more co-administered drugs and a patient context, assess the interaction, its mechanism, severity, and clinical 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severity {contraindicated, major, moderate, minor}; mechanism {pharmacokinetic, pharmacodynamic};</w:t>
            </w:r>
            <w:r>
              <w:rPr>
                <w:rFonts w:ascii="Georgia" w:hAnsi="Georgia"/>
                <w:sz w:val="19"/>
              </w:rPr>
              <w:t xml:space="preserve"> </w:t>
            </w:r>
            <w:r>
              <w:rPr>
                <w:rFonts w:ascii="Georgia" w:hAnsi="Georgia"/>
                <w:sz w:val="19"/>
              </w:rPr>
              <w:t xml:space="preserve">patient_context {renal, hepatic, polypharmacy-elderly, pregnancy}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interaction_accuracy, severity_correct, safety, completeness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Clinical reasoning</w:t>
            </w:r>
            <w:r>
              <w:rPr>
                <w:rFonts w:ascii="Georgia" w:hAnsi="Georgia"/>
                <w:sz w:val="19"/>
              </w:rPr>
              <w:br/>
            </w:r>
            <w:r>
              <w:rPr>
                <w:rFonts w:ascii="Georgia" w:hAnsi="Georgia"/>
                <w:i/>
                <w:iCs/>
                <w:sz w:val="19"/>
              </w:rPr>
              <w:t xml:space="preserve">"a clinical reasoning question a clinician would face, requiring medical knowledge and safe, accurate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specialty {cardiology, infectious_disease, pediatrics, oncology, emergency}; difficulty {routine, intermediate, hard}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clinical_accuracy, safety, completeness, clarity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Legal analysis</w:t>
            </w:r>
            <w:r>
              <w:rPr>
                <w:rFonts w:ascii="Georgia" w:hAnsi="Georgia"/>
                <w:sz w:val="19"/>
              </w:rPr>
              <w:br/>
            </w:r>
            <w:r>
              <w:rPr>
                <w:rFonts w:ascii="Georgia" w:hAnsi="Georgia"/>
                <w:i/>
                <w:iCs/>
                <w:sz w:val="19"/>
              </w:rPr>
              <w:t xml:space="preserve">"a legal analysis question requiring identification of the relevant rule and correct application to the facts"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area_of_law {contracts, torts, criminal, constitutional, intellectual_property}; complexity {basic, intermediate, advanced}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legal_accuracy, reasoning_quality, completeness, clarity</w:t>
            </w:r>
          </w:p>
        </w:tc>
      </w:tr>
    </w:tbl>
    <w:p>
      <w:pPr>
        <w:pStyle w:val="BodyText"/>
        <w:spacing w:before="240"/>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5.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2"/>
    <w:bookmarkStart w:id="123" w:name="appD"/>
    <w:p>
      <w:pPr>
        <w:pStyle w:val="Heading2"/>
        <w:keepNext/>
        <w:keepLines/>
        <w:widowControl w:val="1"/>
      </w:pPr>
      <w:r>
        <w:t xml:space="preserve">Appendix D.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D1).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pStyle w:val="TableCaption"/>
        <w:spacing w:before="280" w:after="60" w:line="240" w:lineRule="auto"/>
        <w:jc w:val="center"/>
        <w:keepNext/>
        <w:keepLines/>
        <w:widowControl w:val="1"/>
      </w:pPr>
      <w:r>
        <w:rPr>
          <w:b/>
          <w:i/>
        </w:rPr>
        <w:t>Table D1.</w:t>
      </w:r>
      <w:r>
        <w:rPr>
          <w:b w:val="0"/>
          <w:i/>
        </w:rPr>
        <w:t xml:space="preserve"> </w:t>
      </w:r>
      <w:r>
        <w:rPr>
          <w:b w:val="0"/>
          <w:i/>
        </w:rPr>
        <w:t>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w:t>
      </w:r>
    </w:p>
    <w:tbl>
      <w:tblPr>
        <w:tblStyle w:val="Table"/>
        <w:tblW w:type="pct" w:w="5000"/>
        <w:jc w:val="center"/>
        <w:tblLook w:firstRow="1" w:lastRow="0" w:firstColumn="0" w:lastColumn="0" w:noHBand="0" w:noVBand="0" w:val="0020"/>
        <w:tblCaption w:val="Table D1.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claude-3.5-haiku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qwen-2.5-7b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llama-3.1-8b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gpt-3.5-turbo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r>
    </w:tbl>
    <w:bookmarkEnd w:id="123"/>
    <w:bookmarkStart w:id="124" w:name="appE"/>
    <w:p>
      <w:pPr>
        <w:pStyle w:val="Heading2"/>
        <w:keepNext/>
        <w:keepLines/>
        <w:widowControl w:val="1"/>
      </w:pPr>
      <w:r>
        <w:t xml:space="preserve">Appendix E. Bias cancellation and cross-family self-preference</w:t>
      </w:r>
    </w:p>
    <w:p>
      <w:pPr>
        <w:pStyle w:val="FirstParagraph"/>
        <w:jc w:val="both"/>
        <w:keepNext w:val="0"/>
        <w:keepLines w:val="0"/>
        <w:widowControl w:val="1"/>
      </w:pPr>
      <w:r>
        <w:t xml:space="preserve">We test whether the ensemble cancels verbosity bias (rewarding longer responses) on the four-task</w:t>
      </w:r>
      <w:r>
        <w:t xml:space="preserve"> </w:t>
      </w:r>
      <w:r>
        <w:rPr>
          <w:rStyle w:val="VerbatimChar"/>
        </w:rPr>
        <w:t xml:space="preserve">medium-benchmark</w:t>
      </w:r>
      <w:r>
        <w:t xml:space="preserve"> </w:t>
      </w:r>
      <w:r>
        <w:t xml:space="preserve">run. Per judge, length biases are of</w:t>
      </w:r>
      <w:r>
        <w:t xml:space="preserve"> </w:t>
      </w:r>
      <w:r>
        <w:rPr>
          <w:i/>
          <w:iCs/>
        </w:rPr>
        <w:t xml:space="preserve">mixed sign</w:t>
      </w:r>
      <w:r>
        <w:t xml:space="preserve">:</w:t>
      </w:r>
      <w:r>
        <w:t xml:space="preserve"> </w:t>
      </w:r>
      <w:r>
        <w:rPr>
          <w:rStyle w:val="VerbatimChar"/>
        </w:rPr>
        <w:t xml:space="preserve">gpt-3.5-turbo</w:t>
      </w:r>
      <w:r>
        <w:t xml:space="preserve"> </w:t>
      </w:r>
      <w:r>
        <w:t xml:space="preserve">penalizes length (</w:t>
      </w:r>
      <m:oMath>
        <m:r>
          <m:t>r</m:t>
        </m:r>
        <m:r>
          <m:rPr>
            <m:sty m:val="p"/>
          </m:rPr>
          <m:t>=</m:t>
        </m:r>
        <m:r>
          <m:rPr>
            <m:sty m:val="p"/>
          </m:rPr>
          <m:t>−</m:t>
        </m:r>
        <m:r>
          <m:t>0.177</m:t>
        </m:r>
      </m:oMath>
      <w:r>
        <w:t xml:space="preserve">),</w:t>
      </w:r>
      <w:r>
        <w:t xml:space="preserve"> </w:t>
      </w:r>
      <w:r>
        <w:rPr>
          <w:rStyle w:val="VerbatimChar"/>
        </w:rPr>
        <w:t xml:space="preserve">smollm2-1.7b</w:t>
      </w:r>
      <w:r>
        <w:t xml:space="preserve"> </w:t>
      </w:r>
      <w:r>
        <w:t xml:space="preserve">rewards it (</w:t>
      </w:r>
      <m:oMath>
        <m:r>
          <m:t>r</m:t>
        </m:r>
        <m:r>
          <m:rPr>
            <m:sty m:val="p"/>
          </m:rPr>
          <m:t>=</m:t>
        </m:r>
        <m:r>
          <m:rPr>
            <m:sty m:val="p"/>
          </m:rPr>
          <m:t>+</m:t>
        </m:r>
        <m:r>
          <m:t>0.234</m:t>
        </m:r>
      </m:oMath>
      <w:r>
        <w:t xml:space="preserve">), with panel mean</w:t>
      </w:r>
      <w:r>
        <w:t xml:space="preserve"> </w:t>
      </w:r>
      <m:oMath>
        <m:bar>
          <m:barPr>
            <m:pos m:val="top"/>
          </m:barPr>
          <m:e>
            <m:r>
              <m:rPr>
                <m:sty m:val="p"/>
              </m:rPr>
              <m:t>|</m:t>
            </m:r>
            <m:r>
              <m:t>r</m:t>
            </m:r>
            <m:r>
              <m:rPr>
                <m:sty m:val="p"/>
              </m:rPr>
              <m:t>|</m:t>
            </m:r>
          </m:e>
        </m:bar>
        <m:r>
          <m:rPr>
            <m:sty m:val="p"/>
          </m:rPr>
          <m:t>=</m:t>
        </m:r>
        <m:r>
          <m:t>0.153</m:t>
        </m:r>
      </m:oMath>
      <w:r>
        <w:t xml:space="preserve"> </w:t>
      </w:r>
      <w:r>
        <w:t xml:space="preserve">and no judge length-neutral (Table E1). Averaging mixed-sign biases cancels</w:t>
      </w:r>
      <w:r>
        <w:t xml:space="preserve"> </w:t>
      </w:r>
      <w:r>
        <w:t xml:space="preserve">them: the</w:t>
      </w:r>
      <w:r>
        <w:t xml:space="preserve"> </w:t>
      </w:r>
      <w:r>
        <w:rPr>
          <w:b/>
          <w:bCs/>
        </w:rPr>
        <w:t xml:space="preserve">ensemble</w:t>
      </w:r>
      <w:r>
        <w:t xml:space="preserve"> </w:t>
      </w:r>
      <w:r>
        <w:t xml:space="preserve">length-score correlation is</w:t>
      </w:r>
      <w:r>
        <w:t xml:space="preserve"> </w:t>
      </w:r>
      <m:oMath>
        <m:r>
          <m:t>r</m:t>
        </m:r>
        <m:r>
          <m:rPr>
            <m:sty m:val="p"/>
          </m:rPr>
          <m:t>=</m:t>
        </m:r>
        <m:r>
          <m:rPr>
            <m:sty m:val="p"/>
          </m:rPr>
          <m:t>+</m:t>
        </m:r>
        <m:r>
          <m:t>0.010</m:t>
        </m:r>
      </m:oMath>
      <w:r>
        <w:t xml:space="preserve"> </w:t>
      </w:r>
      <w:r>
        <w:t xml:space="preserve">(95% bootstrap CI</w:t>
      </w:r>
      <w:r>
        <w:t xml:space="preserve"> </w:t>
      </w:r>
      <m:oMath>
        <m:r>
          <m:rPr>
            <m:sty m:val="p"/>
          </m:rPr>
          <m:t>[</m:t>
        </m:r>
        <m:r>
          <m:rPr>
            <m:sty m:val="p"/>
          </m:rPr>
          <m:t>−</m:t>
        </m:r>
        <m:r>
          <m:t>0.039</m:t>
        </m:r>
        <m:r>
          <m:rPr>
            <m:sty m:val="p"/>
          </m:rPr>
          <m:t>,</m:t>
        </m:r>
        <m:r>
          <m:t> </m:t>
        </m:r>
        <m:r>
          <m:rPr>
            <m:sty m:val="p"/>
          </m:rPr>
          <m:t>+</m:t>
        </m:r>
        <m:r>
          <m:t>0.057</m:t>
        </m:r>
        <m:r>
          <m:rPr>
            <m:sty m:val="p"/>
          </m:rPr>
          <m:t>]</m:t>
        </m:r>
      </m:oMath>
      <w:r>
        <w:t xml:space="preserve">,</w:t>
      </w:r>
      <w:r>
        <w:t xml:space="preserve"> </w:t>
      </w:r>
      <w:r>
        <w:t xml:space="preserve">spanning zero), a 93% reduction relative to the per-judge mean and statistically indistinguishable from length-neutral.</w:t>
      </w:r>
      <w:r>
        <w:t xml:space="preserve"> </w:t>
      </w:r>
      <w:r>
        <w:t xml:space="preserve">The cancellation comes from bias-sign diversity, which in this panel is correlated with vendor family, so vendor</w:t>
      </w:r>
      <w:r>
        <w:t xml:space="preserve"> </w:t>
      </w:r>
      <w:r>
        <w:t xml:space="preserve">diversity is a convenient, observable proxy for assembling judges whose idiosyncratic biases are unlikely to align.</w:t>
      </w:r>
    </w:p>
    <w:p>
      <w:pPr>
        <w:pStyle w:val="TableCaption"/>
        <w:spacing w:before="280" w:after="60" w:line="240" w:lineRule="auto"/>
        <w:jc w:val="center"/>
        <w:keepNext/>
        <w:keepLines/>
        <w:widowControl w:val="1"/>
      </w:pPr>
      <w:r>
        <w:rPr>
          <w:b/>
          <w:i/>
        </w:rPr>
        <w:t>Table E1.</w:t>
      </w:r>
      <w:r>
        <w:rPr>
          <w:b w:val="0"/>
          <w:i/>
        </w:rPr>
        <w:t xml:space="preserve"> </w:t>
      </w:r>
      <w:r>
        <w:rPr>
          <w:b w:val="0"/>
          <w:i/>
        </w:rPr>
        <w:t>Verbosity bias (Pearson r between response length and score) for representative individual judges versus the CoEval ensemble. Individual judges carry length biases of opposite sign that the ensemble cancels to a residual centered near zero.</w:t>
      </w:r>
    </w:p>
    <w:tbl>
      <w:tblPr>
        <w:tblStyle w:val="Table"/>
        <w:tblW w:type="pct" w:w="5000"/>
        <w:jc w:val="center"/>
        <w:tblLook w:firstRow="1" w:lastRow="0" w:firstColumn="0" w:lastColumn="0" w:noHBand="0" w:noVBand="0" w:val="0020"/>
        <w:tblCaption w:val="Table E1. Verbosity bias (Pearson r between response length and score) for representative individual judges versus the CoEval ensemble. Individual judges carry length biases of opposite sign that the ensemble cancels to a residual centered near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SmolLM2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w:t>
            </w:r>
            <w:r>
              <w:rPr>
                <w:rFonts w:ascii="Georgia" w:hAnsi="Georgia"/>
                <w:sz w:val="19"/>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CoEval ensemble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[−0.039, +0.057]</w:t>
            </w:r>
          </w:p>
        </w:tc>
      </w:tr>
    </w:tbl>
    <w:p>
      <w:pPr>
        <w:pStyle w:val="BodyText"/>
        <w:spacing w:before="240"/>
        <w:jc w:val="both"/>
        <w:keepNext w:val="0"/>
        <w:keepLines w:val="0"/>
        <w:widowControl w:val="1"/>
      </w:pPr>
      <w:r>
        <w:t xml:space="preserve">Recent work establishes that judge–generator relatedness inflates scores (</w:t>
      </w:r>
      <w:r>
        <w:rPr>
          <w:i/>
          <w:iCs/>
        </w:rPr>
        <w:t xml:space="preserve">Preference Leakage</w:t>
      </w:r>
      <w:r>
        <w:t xml:space="preserve"> </w:t>
      </w:r>
      <w:r>
        <w:t xml:space="preserve">[</w:t>
      </w:r>
      <w:hyperlink w:anchor="r15">
        <w:r>
          <w:rPr>
            <w:rStyle w:val="Hyperlink"/>
          </w:rPr>
          <w:t xml:space="preserve">15</w:t>
        </w:r>
      </w:hyperlink>
      <w:r>
        <w:t xml:space="preserve">];</w:t>
      </w:r>
      <w:r>
        <w:t xml:space="preserve"> </w:t>
      </w:r>
      <w:r>
        <w:rPr>
          <w:i/>
          <w:iCs/>
        </w:rPr>
        <w:t xml:space="preserve">Play Favorites</w:t>
      </w:r>
      <w:r>
        <w:t xml:space="preserve"> </w:t>
      </w:r>
      <w:r>
        <w:t xml:space="preserve">[</w:t>
      </w:r>
      <w:hyperlink w:anchor="r16">
        <w:r>
          <w:rPr>
            <w:rStyle w:val="Hyperlink"/>
          </w:rPr>
          <w:t xml:space="preserve">16</w:t>
        </w:r>
      </w:hyperlink>
      <w:r>
        <w:t xml:space="preserve">]). CoEval addresses this</w:t>
      </w:r>
      <w:r>
        <w:t xml:space="preserve"> </w:t>
      </w:r>
      <w:r>
        <w:rPr>
          <w:i/>
          <w:iCs/>
        </w:rPr>
        <w:t xml:space="preserve">structurally</w:t>
      </w:r>
      <w:r>
        <w:t xml:space="preserve">:</w:t>
      </w:r>
      <w:r>
        <w:t xml:space="preserve"> </w:t>
      </w:r>
      <w:r>
        <w:t xml:space="preserve">requiring the judge panel to be vendor-disjoint from the student under test precludes any model from scoring its own</w:t>
      </w:r>
      <w:r>
        <w:t xml:space="preserve"> </w:t>
      </w:r>
      <w:r>
        <w:t xml:space="preserve">family, so a same-family preference cannot enter the aggregate at all, regardless of its magnitude on any individual</w:t>
      </w:r>
      <w:r>
        <w:t xml:space="preserve"> </w:t>
      </w:r>
      <w:r>
        <w:t xml:space="preserve">model.</w:t>
      </w:r>
    </w:p>
    <w:p>
      <w:pPr>
        <w:pStyle w:val="BodyText"/>
        <w:jc w:val="both"/>
        <w:keepNext w:val="0"/>
        <w:keepLines w:val="0"/>
        <w:widowControl w:val="1"/>
      </w:pPr>
      <w:r>
        <w:t xml:space="preserve">Measured directly, the residual same-family preference is small and inconsistent in sign. Using</w:t>
      </w:r>
      <w:r>
        <w:t xml:space="preserve"> </w:t>
      </w:r>
      <w:r>
        <w:rPr>
          <w:rStyle w:val="VerbatimChar"/>
        </w:rPr>
        <w:t xml:space="preserve">gpt-4o-mini</w:t>
      </w:r>
      <w:r>
        <w:t xml:space="preserve"> </w:t>
      </w:r>
      <w:r>
        <w:t xml:space="preserve">as both a judge and a candidate in the verticals (Section 5.4), a difference-in-differences</w:t>
      </w:r>
      <w:r>
        <w:t xml:space="preserve"> </w:t>
      </w:r>
      <w:r>
        <w:t xml:space="preserve">that controls for a judge's overall harshness gives</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w:t>
      </w:r>
      <w:r>
        <w:t xml:space="preserve"> </w:t>
      </w:r>
      <w:r>
        <w:t xml:space="preserve">legal, and</w:t>
      </w:r>
      <w:r>
        <w:t xml:space="preserve"> </w:t>
      </w:r>
      <m:oMath>
        <m:r>
          <m:rPr>
            <m:sty m:val="p"/>
          </m:rPr>
          <m:t>−</m:t>
        </m:r>
        <m:r>
          <m:t>0.04</m:t>
        </m:r>
      </m:oMath>
      <w:r>
        <w:t xml:space="preserve"> </w:t>
      </w:r>
      <w:r>
        <w:t xml:space="preserve">on drug-interaction: no systematic self-inflation survives. As an explicit safeguard,</w:t>
      </w:r>
      <w:r>
        <w:t xml:space="preserve"> </w:t>
      </w:r>
      <w:r>
        <w:rPr>
          <w:i/>
          <w:iCs/>
        </w:rPr>
        <w:t xml:space="preserve">vendor-disjoint aggregation</w:t>
      </w:r>
      <w:r>
        <w:t xml:space="preserve"> </w:t>
      </w:r>
      <w:r>
        <w:t xml:space="preserve">(when scoring a model, dropping any judge sharing its vendor family) leaves every</w:t>
      </w:r>
      <w:r>
        <w:t xml:space="preserve"> </w:t>
      </w:r>
      <w:r>
        <w:t xml:space="preserve">ranking in Tables 3 and 6 unchanged, with per-model scores shifting by at most</w:t>
      </w:r>
      <w:r>
        <w:t xml:space="preserve"> </w:t>
      </w:r>
      <m:oMath>
        <m:r>
          <m:t>0.016</m:t>
        </m:r>
      </m:oMath>
      <w:r>
        <w:t xml:space="preserve">, confirming the</w:t>
      </w:r>
      <w:r>
        <w:t xml:space="preserve"> </w:t>
      </w:r>
      <w:r>
        <w:t xml:space="preserve">cross-family rankings are already robust to same-family bias.</w:t>
      </w:r>
    </w:p>
    <w:bookmarkEnd w:id="124"/>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24" Type="http://schemas.openxmlformats.org/officeDocument/2006/relationships/image" Target="media/rId24.png"/><Relationship Id="rId118" Type="http://schemas.openxmlformats.org/officeDocument/2006/relationships/image" Target="media/rId118.png"/><Relationship Id="rId112" Type="http://schemas.openxmlformats.org/officeDocument/2006/relationships/hyperlink" Target="https://arxiv.org/abs/2007.12626" TargetMode="External"/><Relationship Id="rId66" Type="http://schemas.openxmlformats.org/officeDocument/2006/relationships/hyperlink" Target="https://arxiv.org/abs/2104.14337" TargetMode="External"/><Relationship Id="rId42" Type="http://schemas.openxmlformats.org/officeDocument/2006/relationships/hyperlink" Target="https://arxiv.org/abs/2303.16634" TargetMode="External"/><Relationship Id="rId106" Type="http://schemas.openxmlformats.org/officeDocument/2006/relationships/hyperlink" Target="https://arxiv.org/abs/2306.05087" TargetMode="External"/><Relationship Id="rId40" Type="http://schemas.openxmlformats.org/officeDocument/2006/relationships/hyperlink" Target="https://arxiv.org/abs/2306.05685" TargetMode="External"/><Relationship Id="rId80" Type="http://schemas.openxmlformats.org/officeDocument/2006/relationships/hyperlink" Target="https://arxiv.org/abs/2308.07201" TargetMode="External"/><Relationship Id="rId114" Type="http://schemas.openxmlformats.org/officeDocument/2006/relationships/hyperlink" Target="https://arxiv.org/abs/2310.07641" TargetMode="External"/><Relationship Id="rId110" Type="http://schemas.openxmlformats.org/officeDocument/2006/relationships/hyperlink" Target="https://arxiv.org/abs/2310.16789" TargetMode="External"/><Relationship Id="rId108" Type="http://schemas.openxmlformats.org/officeDocument/2006/relationships/hyperlink" Target="https://arxiv.org/abs/2310.17631" TargetMode="External"/><Relationship Id="rId84" Type="http://schemas.openxmlformats.org/officeDocument/2006/relationships/hyperlink" Target="https://arxiv.org/abs/2403.07974" TargetMode="External"/><Relationship Id="rId54" Type="http://schemas.openxmlformats.org/officeDocument/2006/relationships/hyperlink" Target="https://arxiv.org/abs/2404.04475" TargetMode="External"/><Relationship Id="rId48" Type="http://schemas.openxmlformats.org/officeDocument/2006/relationships/hyperlink" Target="https://arxiv.org/abs/2404.18796" TargetMode="External"/><Relationship Id="rId62" Type="http://schemas.openxmlformats.org/officeDocument/2006/relationships/hyperlink" Target="https://arxiv.org/abs/2405.00332" TargetMode="External"/><Relationship Id="rId44" Type="http://schemas.openxmlformats.org/officeDocument/2006/relationships/hyperlink" Target="https://arxiv.org/abs/2405.01535" TargetMode="External"/><Relationship Id="rId52" Type="http://schemas.openxmlformats.org/officeDocument/2006/relationships/hyperlink" Target="https://arxiv.org/abs/2406.05761" TargetMode="External"/><Relationship Id="rId82" Type="http://schemas.openxmlformats.org/officeDocument/2006/relationships/hyperlink" Target="https://arxiv.org/abs/2406.19314" TargetMode="External"/><Relationship Id="rId56" Type="http://schemas.openxmlformats.org/officeDocument/2006/relationships/hyperlink" Target="https://arxiv.org/abs/2407.08351" TargetMode="External"/><Relationship Id="rId46" Type="http://schemas.openxmlformats.org/officeDocument/2006/relationships/hyperlink" Target="https://arxiv.org/abs/2407.10817" TargetMode="External"/><Relationship Id="rId88" Type="http://schemas.openxmlformats.org/officeDocument/2006/relationships/hyperlink" Target="https://arxiv.org/abs/2408.08808" TargetMode="External"/><Relationship Id="rId72" Type="http://schemas.openxmlformats.org/officeDocument/2006/relationships/hyperlink" Target="https://arxiv.org/abs/2410.02736" TargetMode="External"/><Relationship Id="rId50" Type="http://schemas.openxmlformats.org/officeDocument/2006/relationships/hyperlink" Target="https://arxiv.org/abs/2410.12784" TargetMode="External"/><Relationship Id="rId74" Type="http://schemas.openxmlformats.org/officeDocument/2006/relationships/hyperlink" Target="https://arxiv.org/abs/2410.21819" TargetMode="External"/><Relationship Id="rId58" Type="http://schemas.openxmlformats.org/officeDocument/2006/relationships/hyperlink" Target="https://arxiv.org/abs/2410.22584" TargetMode="External"/><Relationship Id="rId76" Type="http://schemas.openxmlformats.org/officeDocument/2006/relationships/hyperlink" Target="https://arxiv.org/abs/2411.15594" TargetMode="External"/><Relationship Id="rId78" Type="http://schemas.openxmlformats.org/officeDocument/2006/relationships/hyperlink" Target="https://arxiv.org/abs/2411.16594" TargetMode="External"/><Relationship Id="rId100" Type="http://schemas.openxmlformats.org/officeDocument/2006/relationships/hyperlink" Target="https://arxiv.org/abs/2501.12789" TargetMode="External"/><Relationship Id="rId68" Type="http://schemas.openxmlformats.org/officeDocument/2006/relationships/hyperlink" Target="https://arxiv.org/abs/2502.01534" TargetMode="External"/><Relationship Id="rId64" Type="http://schemas.openxmlformats.org/officeDocument/2006/relationships/hyperlink" Target="https://arxiv.org/abs/2502.14425" TargetMode="External"/><Relationship Id="rId98" Type="http://schemas.openxmlformats.org/officeDocument/2006/relationships/hyperlink" Target="https://arxiv.org/abs/2502.14678" TargetMode="External"/><Relationship Id="rId102" Type="http://schemas.openxmlformats.org/officeDocument/2006/relationships/hyperlink" Target="https://arxiv.org/abs/2502.17521" TargetMode="External"/><Relationship Id="rId60" Type="http://schemas.openxmlformats.org/officeDocument/2006/relationships/hyperlink" Target="https://arxiv.org/abs/2504.01833" TargetMode="External"/><Relationship Id="rId86" Type="http://schemas.openxmlformats.org/officeDocument/2006/relationships/hyperlink" Target="https://arxiv.org/abs/2504.03846" TargetMode="External"/><Relationship Id="rId90" Type="http://schemas.openxmlformats.org/officeDocument/2006/relationships/hyperlink" Target="https://arxiv.org/abs/2504.17087" TargetMode="External"/><Relationship Id="rId70" Type="http://schemas.openxmlformats.org/officeDocument/2006/relationships/hyperlink" Target="https://arxiv.org/abs/2508.06709" TargetMode="External"/><Relationship Id="rId96" Type="http://schemas.openxmlformats.org/officeDocument/2006/relationships/hyperlink" Target="https://arxiv.org/abs/2601.21817" TargetMode="External"/><Relationship Id="rId92" Type="http://schemas.openxmlformats.org/officeDocument/2006/relationships/hyperlink" Target="https://arxiv.org/abs/2602.16610" TargetMode="External"/><Relationship Id="rId94" Type="http://schemas.openxmlformats.org/officeDocument/2006/relationships/hyperlink" Target="https://arxiv.org/abs/2603.00039" TargetMode="External"/><Relationship Id="rId104"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12" Type="http://schemas.openxmlformats.org/officeDocument/2006/relationships/hyperlink" Target="https://arxiv.org/abs/2007.12626" TargetMode="External"/><Relationship Id="rId66" Type="http://schemas.openxmlformats.org/officeDocument/2006/relationships/hyperlink" Target="https://arxiv.org/abs/2104.14337" TargetMode="External"/><Relationship Id="rId42" Type="http://schemas.openxmlformats.org/officeDocument/2006/relationships/hyperlink" Target="https://arxiv.org/abs/2303.16634" TargetMode="External"/><Relationship Id="rId106" Type="http://schemas.openxmlformats.org/officeDocument/2006/relationships/hyperlink" Target="https://arxiv.org/abs/2306.05087" TargetMode="External"/><Relationship Id="rId40" Type="http://schemas.openxmlformats.org/officeDocument/2006/relationships/hyperlink" Target="https://arxiv.org/abs/2306.05685" TargetMode="External"/><Relationship Id="rId80" Type="http://schemas.openxmlformats.org/officeDocument/2006/relationships/hyperlink" Target="https://arxiv.org/abs/2308.07201" TargetMode="External"/><Relationship Id="rId114" Type="http://schemas.openxmlformats.org/officeDocument/2006/relationships/hyperlink" Target="https://arxiv.org/abs/2310.07641" TargetMode="External"/><Relationship Id="rId110" Type="http://schemas.openxmlformats.org/officeDocument/2006/relationships/hyperlink" Target="https://arxiv.org/abs/2310.16789" TargetMode="External"/><Relationship Id="rId108" Type="http://schemas.openxmlformats.org/officeDocument/2006/relationships/hyperlink" Target="https://arxiv.org/abs/2310.17631" TargetMode="External"/><Relationship Id="rId84" Type="http://schemas.openxmlformats.org/officeDocument/2006/relationships/hyperlink" Target="https://arxiv.org/abs/2403.07974" TargetMode="External"/><Relationship Id="rId54" Type="http://schemas.openxmlformats.org/officeDocument/2006/relationships/hyperlink" Target="https://arxiv.org/abs/2404.04475" TargetMode="External"/><Relationship Id="rId48" Type="http://schemas.openxmlformats.org/officeDocument/2006/relationships/hyperlink" Target="https://arxiv.org/abs/2404.18796" TargetMode="External"/><Relationship Id="rId62" Type="http://schemas.openxmlformats.org/officeDocument/2006/relationships/hyperlink" Target="https://arxiv.org/abs/2405.00332" TargetMode="External"/><Relationship Id="rId44" Type="http://schemas.openxmlformats.org/officeDocument/2006/relationships/hyperlink" Target="https://arxiv.org/abs/2405.01535" TargetMode="External"/><Relationship Id="rId52" Type="http://schemas.openxmlformats.org/officeDocument/2006/relationships/hyperlink" Target="https://arxiv.org/abs/2406.05761" TargetMode="External"/><Relationship Id="rId82" Type="http://schemas.openxmlformats.org/officeDocument/2006/relationships/hyperlink" Target="https://arxiv.org/abs/2406.19314" TargetMode="External"/><Relationship Id="rId56" Type="http://schemas.openxmlformats.org/officeDocument/2006/relationships/hyperlink" Target="https://arxiv.org/abs/2407.08351" TargetMode="External"/><Relationship Id="rId46" Type="http://schemas.openxmlformats.org/officeDocument/2006/relationships/hyperlink" Target="https://arxiv.org/abs/2407.10817" TargetMode="External"/><Relationship Id="rId88" Type="http://schemas.openxmlformats.org/officeDocument/2006/relationships/hyperlink" Target="https://arxiv.org/abs/2408.08808" TargetMode="External"/><Relationship Id="rId72" Type="http://schemas.openxmlformats.org/officeDocument/2006/relationships/hyperlink" Target="https://arxiv.org/abs/2410.02736" TargetMode="External"/><Relationship Id="rId50" Type="http://schemas.openxmlformats.org/officeDocument/2006/relationships/hyperlink" Target="https://arxiv.org/abs/2410.12784" TargetMode="External"/><Relationship Id="rId74" Type="http://schemas.openxmlformats.org/officeDocument/2006/relationships/hyperlink" Target="https://arxiv.org/abs/2410.21819" TargetMode="External"/><Relationship Id="rId58" Type="http://schemas.openxmlformats.org/officeDocument/2006/relationships/hyperlink" Target="https://arxiv.org/abs/2410.22584" TargetMode="External"/><Relationship Id="rId76" Type="http://schemas.openxmlformats.org/officeDocument/2006/relationships/hyperlink" Target="https://arxiv.org/abs/2411.15594" TargetMode="External"/><Relationship Id="rId78" Type="http://schemas.openxmlformats.org/officeDocument/2006/relationships/hyperlink" Target="https://arxiv.org/abs/2411.16594" TargetMode="External"/><Relationship Id="rId100" Type="http://schemas.openxmlformats.org/officeDocument/2006/relationships/hyperlink" Target="https://arxiv.org/abs/2501.12789" TargetMode="External"/><Relationship Id="rId68" Type="http://schemas.openxmlformats.org/officeDocument/2006/relationships/hyperlink" Target="https://arxiv.org/abs/2502.01534" TargetMode="External"/><Relationship Id="rId64" Type="http://schemas.openxmlformats.org/officeDocument/2006/relationships/hyperlink" Target="https://arxiv.org/abs/2502.14425" TargetMode="External"/><Relationship Id="rId98" Type="http://schemas.openxmlformats.org/officeDocument/2006/relationships/hyperlink" Target="https://arxiv.org/abs/2502.14678" TargetMode="External"/><Relationship Id="rId102" Type="http://schemas.openxmlformats.org/officeDocument/2006/relationships/hyperlink" Target="https://arxiv.org/abs/2502.17521" TargetMode="External"/><Relationship Id="rId60" Type="http://schemas.openxmlformats.org/officeDocument/2006/relationships/hyperlink" Target="https://arxiv.org/abs/2504.01833" TargetMode="External"/><Relationship Id="rId86" Type="http://schemas.openxmlformats.org/officeDocument/2006/relationships/hyperlink" Target="https://arxiv.org/abs/2504.03846" TargetMode="External"/><Relationship Id="rId90" Type="http://schemas.openxmlformats.org/officeDocument/2006/relationships/hyperlink" Target="https://arxiv.org/abs/2504.17087" TargetMode="External"/><Relationship Id="rId70" Type="http://schemas.openxmlformats.org/officeDocument/2006/relationships/hyperlink" Target="https://arxiv.org/abs/2508.06709" TargetMode="External"/><Relationship Id="rId96" Type="http://schemas.openxmlformats.org/officeDocument/2006/relationships/hyperlink" Target="https://arxiv.org/abs/2601.21817" TargetMode="External"/><Relationship Id="rId92" Type="http://schemas.openxmlformats.org/officeDocument/2006/relationships/hyperlink" Target="https://arxiv.org/abs/2602.16610" TargetMode="External"/><Relationship Id="rId94" Type="http://schemas.openxmlformats.org/officeDocument/2006/relationships/hyperlink" Target="https://arxiv.org/abs/2603.00039" TargetMode="External"/><Relationship Id="rId104"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2026-06-04T18:21:34Z</dcterms:created>
  <dcterms:modified xsi:type="dcterms:W3CDTF">2026-06-04T18:21:34Z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