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40"/>
        <w:jc w:val="center"/>
        <w:keepNext/>
        <w:keepLines/>
        <w:widowControl w:val="1"/>
      </w:pPr>
      <w:r>
        <w:rPr>
          <w:rFonts w:ascii="Times New Roman" w:hAnsi="Times New Roman"/>
          <w:b/>
          <w:i w:val="0"/>
          <w:sz w:val="22"/>
        </w:rPr>
        <w:t xml:space="preserve">Anonymous Author(s)</w:t>
      </w:r>
    </w:p>
    <w:p>
      <w:pPr>
        <w:pStyle w:val="Subtitle"/>
        <w:spacing w:before="0" w:after="40"/>
        <w:jc w:val="center"/>
        <w:keepNext/>
        <w:keepLines/>
        <w:widowControl w:val="1"/>
      </w:pPr>
      <w:r>
        <w:rPr>
          <w:rFonts w:ascii="Times New Roman" w:hAnsi="Times New Roman"/>
          <w:b/>
          <w:i w:val="0"/>
          <w:sz w:val="22"/>
        </w:rPr>
        <w:t xml:space="preserve">Affiliation withheld for double-blind review</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the panel also agrees with human judgments on standard</w:t>
      </w:r>
      <w:r>
        <w:t xml:space="preserve"> </w:t>
      </w:r>
      <w:r>
        <w:t xml:space="preserve">meta-evaluation benchmarks (SummEval, LLMBar), matching the best single judge without a label-oracle to select it.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headerReference w:type="default" r:id="rId10"/>
          <w:type w:val="continuous"/>
          <w:pgSz w:h="16838" w:w="11906"/>
          <w:pgMar w:bottom="1417" w:footer="720" w:gutter="0" w:header="720" w:left="1417" w:right="1417" w:top="1417"/>
          <w:lnNumType w:countBy="1" w:restart="continuous" w:distance="284"/>
          <w:cols w:num="1" w:space="340"/>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questions over an internal knowledge base, triaging support tickets for a</w:t>
      </w:r>
      <w:r>
        <w:t xml:space="preserve"> </w:t>
      </w:r>
      <w:r>
        <w:t xml:space="preserve">particular product) faces a 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(Section 5.7),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unifies all three: contamination-free, label-free, domain-targeted generation with a</w:t>
      </w:r>
      <w:r>
        <w:t xml:space="preserve"> </w:t>
      </w:r>
      <w:r>
        <w:t xml:space="preserve">reliability-controlled cross-family judge ensemble, in a single framework for the no-data, untrusted-benchmark regime.</w:t>
      </w:r>
      <w:r>
        <w:t xml:space="preserve"> </w:t>
      </w:r>
      <w:r>
        <w:t xml:space="preserve">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PandaLM [</w:t>
      </w:r>
      <w:hyperlink w:anchor="r34">
        <w:r>
          <w:rPr>
            <w:rStyle w:val="Hyperlink"/>
          </w:rPr>
          <w:t xml:space="preserve">34</w:t>
        </w:r>
      </w:hyperlink>
      <w:r>
        <w:t xml:space="preserve">], and JudgeLM [</w:t>
      </w:r>
      <w:hyperlink w:anchor="r35">
        <w:r>
          <w:rPr>
            <w:rStyle w:val="Hyperlink"/>
          </w:rPr>
          <w:t xml:space="preserve">35</w:t>
        </w:r>
      </w:hyperlink>
      <w:r>
        <w:t xml:space="preserve">] train dedicated</w:t>
      </w:r>
      <w:r>
        <w:t xml:space="preserve"> </w:t>
      </w:r>
      <w:r>
        <w:t xml:space="preserve">open evaluators.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Automated generators such as AutoBencher [</w:t>
      </w:r>
      <w:hyperlink w:anchor="r9">
        <w:r>
          <w:rPr>
            <w:rStyle w:val="Hyperlink"/>
          </w:rPr>
          <w:t xml:space="preserve">9</w:t>
        </w:r>
      </w:hyperlink>
      <w:r>
        <w:t xml:space="preserve">], BenchAgents [</w:t>
      </w:r>
      <w:hyperlink w:anchor="r10">
        <w:r>
          <w:rPr>
            <w:rStyle w:val="Hyperlink"/>
          </w:rPr>
          <w:t xml:space="preserve">10</w:t>
        </w:r>
      </w:hyperlink>
      <w:r>
        <w:t xml:space="preserve">], and YourBench</w:t>
      </w:r>
      <w:r>
        <w:t xml:space="preserve"> </w:t>
      </w:r>
      <w:r>
        <w:t xml:space="preserve">[</w:t>
      </w:r>
      <w:hyperlink w:anchor="r11">
        <w:r>
          <w:rPr>
            <w:rStyle w:val="Hyperlink"/>
          </w:rPr>
          <w:t xml:space="preserve">11</w:t>
        </w:r>
      </w:hyperlink>
      <w:r>
        <w:t xml:space="preserve">] construct evaluation items without labels, but score with a single judge and no role</w:t>
      </w:r>
      <w:r>
        <w:t xml:space="preserve"> </w:t>
      </w:r>
      <w:r>
        <w:t xml:space="preserve">separation. CoEval adds a cross-family multi-judge layer, explicit teacher/student/judge roles,</w:t>
      </w:r>
      <w:r>
        <w:t xml:space="preserve"> </w:t>
      </w:r>
      <w:r>
        <w:t xml:space="preserve">attribute-</w:t>
      </w:r>
      <w:r>
        <w:rPr>
          <w:i/>
          <w:iCs/>
        </w:rPr>
        <w:t xml:space="preserve">stratified</w:t>
      </w:r>
      <w:r>
        <w:t xml:space="preserve"> </w:t>
      </w:r>
      <w:r>
        <w:t xml:space="preserve">coverage (a per-stratum item floor over declared attribute combinations), and continuous</w:t>
      </w:r>
      <w:r>
        <w:t xml:space="preserve"> </w:t>
      </w:r>
      <w:r>
        <w:t xml:space="preserve">inter-judge agreement monitoring. The contamination motivation is sharpened by GSM1k [</w:t>
      </w:r>
      <w:hyperlink w:anchor="r12">
        <w:r>
          <w:rPr>
            <w:rStyle w:val="Hyperlink"/>
          </w:rPr>
          <w:t xml:space="preserve">12</w:t>
        </w:r>
      </w:hyperlink>
      <w:r>
        <w:t xml:space="preserve">] and recent</w:t>
      </w:r>
      <w:r>
        <w:t xml:space="preserve"> </w:t>
      </w:r>
      <w:r>
        <w:t xml:space="preserve">contamination surveys [</w:t>
      </w:r>
      <w:hyperlink w:anchor="r13">
        <w:r>
          <w:rPr>
            <w:rStyle w:val="Hyperlink"/>
          </w:rPr>
          <w:t xml:space="preserve">13</w:t>
        </w:r>
      </w:hyperlink>
      <w:r>
        <w:t xml:space="preserve">]. Live benchmarks (LiveBench [</w:t>
      </w:r>
      <w:hyperlink w:anchor="r22">
        <w:r>
          <w:rPr>
            <w:rStyle w:val="Hyperlink"/>
          </w:rPr>
          <w:t xml:space="preserve">22</w:t>
        </w:r>
      </w:hyperlink>
      <w:r>
        <w:t xml:space="preserve">], LiveCodeBench</w:t>
      </w:r>
      <w:r>
        <w:t xml:space="preserve"> </w:t>
      </w:r>
      <w:r>
        <w:t xml:space="preserve">[</w:t>
      </w:r>
      <w:hyperlink w:anchor="r23">
        <w:r>
          <w:rPr>
            <w:rStyle w:val="Hyperlink"/>
          </w:rPr>
          <w:t xml:space="preserve">23</w:t>
        </w:r>
      </w:hyperlink>
      <w:r>
        <w:t xml:space="preserve">]) limit leakage by continuously releasing fresh, time-windowed items, but rely on</w:t>
      </w:r>
      <w:r>
        <w:t xml:space="preserve"> </w:t>
      </w:r>
      <w:r>
        <w:t xml:space="preserve">human-curated questions with objective answers and avoid LLM judges; CoEval extends contamination resistance to</w:t>
      </w:r>
      <w:r>
        <w:t xml:space="preserve"> </w:t>
      </w:r>
      <w:r>
        <w:rPr>
          <w:i/>
          <w:iCs/>
        </w:rPr>
        <w:t xml:space="preserve">open-ended, judge-scored</w:t>
      </w:r>
      <w:r>
        <w:t xml:space="preserve"> </w:t>
      </w:r>
      <w:r>
        <w:t xml:space="preserve">tasks through fresh attribute-controlled generation. Closest to our synthesis step,</w:t>
      </w:r>
      <w:r>
        <w:t xml:space="preserve"> </w:t>
      </w:r>
      <w:r>
        <w:t xml:space="preserve">CHASE [</w:t>
      </w:r>
      <w:hyperlink w:anchor="r30">
        <w:r>
          <w:rPr>
            <w:rStyle w:val="Hyperlink"/>
          </w:rPr>
          <w:t xml:space="preserve">30</w:t>
        </w:r>
      </w:hyperlink>
      <w:r>
        <w:t xml:space="preserve">] composes problems bottom-up from verifiable sub-tasks and DataMorgana</w:t>
      </w:r>
      <w:r>
        <w:t xml:space="preserve"> </w:t>
      </w:r>
      <w:r>
        <w:t xml:space="preserve">[</w:t>
      </w:r>
      <w:hyperlink w:anchor="r31">
        <w:r>
          <w:rPr>
            <w:rStyle w:val="Hyperlink"/>
          </w:rPr>
          <w:t xml:space="preserve">31</w:t>
        </w:r>
      </w:hyperlink>
      <w:r>
        <w:t xml:space="preserve">] produces configuration-driven question–answer sets with controllable category</w:t>
      </w:r>
      <w:r>
        <w:t xml:space="preserve"> </w:t>
      </w:r>
      <w:r>
        <w:t xml:space="preserve">distributions; both stop at item generation, whereas CoEval closes the loop to a model</w:t>
      </w:r>
      <w:r>
        <w:t xml:space="preserve"> </w:t>
      </w:r>
      <w:r>
        <w:rPr>
          <w:i/>
          <w:iCs/>
        </w:rPr>
        <w:t xml:space="preserve">ranking</w:t>
      </w:r>
      <w:r>
        <w:t xml:space="preserve"> </w:t>
      </w:r>
      <w:r>
        <w:t xml:space="preserve">with a</w:t>
      </w:r>
      <w:r>
        <w:t xml:space="preserve"> </w:t>
      </w:r>
      <w:r>
        <w:t xml:space="preserve">vendor-disjoint panel and label-free aggregation. A recent static-to-dynamic survey [</w:t>
      </w:r>
      <w:hyperlink w:anchor="r32">
        <w:r>
          <w:rPr>
            <w:rStyle w:val="Hyperlink"/>
          </w:rPr>
          <w:t xml:space="preserve">32</w:t>
        </w:r>
      </w:hyperlink>
      <w:r>
        <w:t xml:space="preserve">] situates</w:t>
      </w:r>
      <w:r>
        <w:t xml:space="preserve"> </w:t>
      </w:r>
      <w:r>
        <w:t xml:space="preserve">this shift; Dynabench [</w:t>
      </w:r>
      <w:hyperlink w:anchor="r14">
        <w:r>
          <w:rPr>
            <w:rStyle w:val="Hyperlink"/>
          </w:rPr>
          <w:t xml:space="preserve">14</w:t>
        </w:r>
      </w:hyperlink>
      <w:r>
        <w:t xml:space="preserve">] renews benchmarks with humans in the loop where CoEval renews without</w:t>
      </w:r>
      <w:r>
        <w:t xml:space="preserve"> </w:t>
      </w:r>
      <w:r>
        <w:t xml:space="preserve">them; domain-specific judge sets [</w:t>
      </w:r>
      <w:hyperlink w:anchor="r25">
        <w:r>
          <w:rPr>
            <w:rStyle w:val="Hyperlink"/>
          </w:rPr>
          <w:t xml:space="preserve">25</w:t>
        </w:r>
      </w:hyperlink>
      <w:r>
        <w:t xml:space="preserve">] target verticals such as medicine and law, which CoEval</w:t>
      </w:r>
      <w:r>
        <w:t xml:space="preserve"> </w:t>
      </w:r>
      <w:r>
        <w:t xml:space="preserve">generates within the same pipeline; and Length-Controlled AlpacaEval [</w:t>
      </w:r>
      <w:hyperlink w:anchor="r8">
        <w:r>
          <w:rPr>
            <w:rStyle w:val="Hyperlink"/>
          </w:rPr>
          <w:t xml:space="preserve">8</w:t>
        </w:r>
      </w:hyperlink>
      <w:r>
        <w:t xml:space="preserve">] debiases verbosity post hoc</w:t>
      </w:r>
      <w:r>
        <w:t xml:space="preserve"> </w:t>
      </w:r>
      <w:r>
        <w:t xml:space="preserve">on a single judge, where CoEval cancels it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1"/>
          <w:type w:val="continuous"/>
          <w:pgSz w:h="16838" w:w="11906"/>
          <w:pgMar w:bottom="1417" w:footer="720" w:gutter="0" w:header="720" w:left="1417" w:right="1417" w:top="1417"/>
          <w:lnNumType w:countBy="1" w:restart="continuous" w:distance="284"/>
          <w:cols w:num="2" w:space="340" w:equalWidth="1"/>
          <w:docGrid w:linePitch="360"/>
        </w:sectPr>
      </w:pPr>
    </w:p>
    <w:p>
      <w:pPr>
        <w:pStyle w:val="BodyText"/>
        <w:jc w:val="center"/>
        <w:keepNext/>
        <w:keepLines/>
        <w:widowControl w:val="1"/>
      </w:pPr>
      <w:r>
        <w:drawing>
          <wp:inline>
            <wp:extent cx="5969000" cy="1928377"/>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69000" cy="19283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2"/>
          <w:type w:val="continuous"/>
          <w:pgSz w:h="16838" w:w="11906"/>
          <w:pgMar w:bottom="1417" w:footer="720" w:gutter="0" w:header="720" w:left="1417" w:right="1417" w:top="1417"/>
          <w:lnNumType w:countBy="1" w:restart="continuous" w:distance="284"/>
          <w:cols w:num="1" w:space="340"/>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3"/>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7)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5.2–5.3,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5.4, 5.6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5.5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memorized / 100 fresh</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4"/>
          <w:type w:val="continuous"/>
          <w:pgSz w:h="16838" w:w="11906"/>
          <w:pgMar w:bottom="1417" w:footer="720" w:gutter="0" w:header="720" w:left="1417" w:right="1417" w:top="1417"/>
          <w:lnNumType w:countBy="1" w:restart="continuous" w:distance="284"/>
          <w:cols w:num="1" w:space="340"/>
          <w:docGrid w:linePitch="360"/>
        </w:sectPr>
      </w:pPr>
    </w:p>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Section 5.6 exercises the complete tool on three custom verticals (drug interaction, clinical, legal) with no labeled data, and Section 5.7 shows that rankings are domain-specific: across four de-novo domains three different models take first place, so a generic leaderboard misdirects the practitioner that CoEval's per-domain ranking serves.</w:t>
      </w:r>
    </w:p>
    <w:bookmarkStart w:id="27" w:name="X7df2e9e9a901f5ac4e837e696941ee5802047fd"/>
    <w:p>
      <w:pPr>
        <w:pStyle w:val="Heading3"/>
        <w:keepNext/>
        <w:keepLines/>
        <w:widowControl w:val="1"/>
      </w:pPr>
      <w:r>
        <w:t xml:space="preserve">5.1 Judge accuracy: agreement with ground truth and human ratings</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6"/>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+0.859</w:t>
            </w:r>
            <w:r>
              <w:rPr>
                <w:rFonts w:ascii="Times New Roman" w:hAnsi="Times New Roman"/>
                <w:sz w:val="19"/>
              </w:rPr>
              <w:t xml:space="preserve"> </w:t>
            </w:r>
            <w:r>
              <w:rPr>
                <w:rFonts w:ascii="Times New Roman" w:hAnsi="Times New Roman"/>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7"/>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w:t>
      </w:r>
    </w:p>
    <w:p>
      <w:pPr>
        <w:pStyle w:val="BodyText"/>
        <w:jc w:val="both"/>
        <w:keepNext w:val="0"/>
        <w:keepLines w:val="0"/>
        <w:widowControl w:val="1"/>
      </w:pPr>
      <w:r>
        <w:t xml:space="preserve">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cannot be chosen safely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8"/>
          <w:type w:val="continuous"/>
          <w:pgSz w:h="16838" w:w="11906"/>
          <w:pgMar w:bottom="1417" w:footer="720" w:gutter="0" w:header="720" w:left="1417" w:right="1417" w:top="1417"/>
          <w:lnNumType w:countBy="1" w:restart="continuous" w:distance="284"/>
          <w:cols w:num="2" w:space="340"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3).</w:t>
      </w:r>
    </w:p>
    <w:p>
      <w:pPr>
        <w:pStyle w:val="TableCaption"/>
        <w:spacing w:before="24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0.832</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9"/>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rPr>
          <w:b/>
          <w:bCs/>
        </w:rPr>
        <w:t xml:space="preserve">Agreement with human judgments.</w:t>
      </w:r>
      <w:r>
        <w:t xml:space="preserve"> </w:t>
      </w:r>
      <w:r>
        <w:t xml:space="preserve">The validation above anchors the judge to objective exact-match</w:t>
      </w:r>
      <w:r>
        <w:t xml:space="preserve"> </w:t>
      </w:r>
      <w:r>
        <w:t xml:space="preserve">ground truth. We additionally test it against</w:t>
      </w:r>
      <w:r>
        <w:t xml:space="preserve"> </w:t>
      </w:r>
      <w:r>
        <w:rPr>
          <w:i/>
          <w:iCs/>
        </w:rPr>
        <w:t xml:space="preserve">human</w:t>
      </w:r>
      <w:r>
        <w:t xml:space="preserve"> </w:t>
      </w:r>
      <w:r>
        <w:t xml:space="preserve">quality judgments on two standard meta-evaluation</w:t>
      </w:r>
      <w:r>
        <w:t xml:space="preserve"> </w:t>
      </w:r>
      <w:r>
        <w:t xml:space="preserve">benchmarks, scoring with the same cheap cross-family panel (</w:t>
      </w:r>
      <w:r>
        <w:rPr>
          <w:rStyle w:val="VerbatimChar"/>
        </w:rPr>
        <w:t xml:space="preserve">gpt-4o-mini</w:t>
      </w:r>
      <w:r>
        <w:t xml:space="preserve">,</w:t>
      </w:r>
      <w:r>
        <w:t xml:space="preserve"> </w:t>
      </w:r>
      <w:r>
        <w:rPr>
          <w:rStyle w:val="VerbatimChar"/>
        </w:rPr>
        <w:t xml:space="preserve">claude-3.5-haiku</w:t>
      </w:r>
      <w:r>
        <w:t xml:space="preserve">,</w:t>
      </w:r>
      <w:r>
        <w:t xml:space="preserve"> </w:t>
      </w:r>
      <w:r>
        <w:rPr>
          <w:rStyle w:val="VerbatimChar"/>
        </w:rPr>
        <w:t xml:space="preserve">gemini-flash</w:t>
      </w:r>
      <w:r>
        <w:t xml:space="preserve">). On SummEval [</w:t>
      </w:r>
      <w:hyperlink w:anchor="r37">
        <w:r>
          <w:rPr>
            <w:rStyle w:val="Hyperlink"/>
          </w:rPr>
          <w:t xml:space="preserve">37</w:t>
        </w:r>
      </w:hyperlink>
      <w:r>
        <w:t xml:space="preserve">], where experts rate machine summaries, the panel</w:t>
      </w:r>
      <w:r>
        <w:t xml:space="preserve"> </w:t>
      </w:r>
      <w:r>
        <w:t xml:space="preserve">correlates with human ratings at Spearman</w:t>
      </w:r>
      <w:r>
        <w:t xml:space="preserve"> </w:t>
      </w:r>
      <m:oMath>
        <m:r>
          <m:t>0.53</m:t>
        </m:r>
      </m:oMath>
      <w:r>
        <w:t xml:space="preserve"> </w:t>
      </w:r>
      <w:r>
        <w:t xml:space="preserve">(relevance),</w:t>
      </w:r>
      <w:r>
        <w:t xml:space="preserve"> </w:t>
      </w:r>
      <m:oMath>
        <m:r>
          <m:t>0.58</m:t>
        </m:r>
      </m:oMath>
      <w:r>
        <w:t xml:space="preserve"> </w:t>
      </w:r>
      <w:r>
        <w:t xml:space="preserve">(coherence), and</w:t>
      </w:r>
      <w:r>
        <w:t xml:space="preserve"> </w:t>
      </w:r>
      <m:oMath>
        <m:r>
          <m:t>0.56</m:t>
        </m:r>
      </m:oMath>
      <w:r>
        <w:t xml:space="preserve"> </w:t>
      </w:r>
      <w:r>
        <w:t xml:space="preserve">(consistency), in the</w:t>
      </w:r>
      <w:r>
        <w:t xml:space="preserve"> </w:t>
      </w:r>
      <w:r>
        <w:t xml:space="preserve">range strong single-model judges such as G-Eval [</w:t>
      </w:r>
      <w:hyperlink w:anchor="r2">
        <w:r>
          <w:rPr>
            <w:rStyle w:val="Hyperlink"/>
          </w:rPr>
          <w:t xml:space="preserve">2</w:t>
        </w:r>
      </w:hyperlink>
      <w:r>
        <w:t xml:space="preserve">] report on this benchmark, reached here by a</w:t>
      </w:r>
      <w:r>
        <w:t xml:space="preserve"> </w:t>
      </w:r>
      <w:r>
        <w:t xml:space="preserve">panel of small models; the panel exceeds its best single judge on relevance and coherence, and the blind</w:t>
      </w:r>
      <w:r>
        <w:t xml:space="preserve"> </w:t>
      </w:r>
      <w:r>
        <w:t xml:space="preserve">single-judge average on all three. On LLMBar [</w:t>
      </w:r>
      <w:hyperlink w:anchor="r38">
        <w:r>
          <w:rPr>
            <w:rStyle w:val="Hyperlink"/>
          </w:rPr>
          <w:t xml:space="preserve">38</w:t>
        </w:r>
      </w:hyperlink>
      <w:r>
        <w:t xml:space="preserve">], which asks an evaluator to pick the</w:t>
      </w:r>
      <w:r>
        <w:t xml:space="preserve"> </w:t>
      </w:r>
      <w:r>
        <w:t xml:space="preserve">human-preferred output, the panel scores each output</w:t>
      </w:r>
      <w:r>
        <w:t xml:space="preserve"> </w:t>
      </w:r>
      <w:r>
        <w:rPr>
          <w:i/>
          <w:iCs/>
        </w:rPr>
        <w:t xml:space="preserve">absolutely</w:t>
      </w:r>
      <w:r>
        <w:t xml:space="preserve"> </w:t>
      </w:r>
      <w:r>
        <w:t xml:space="preserve">(so no position bias) and prefers the</w:t>
      </w:r>
      <w:r>
        <w:t xml:space="preserve"> </w:t>
      </w:r>
      <w:r>
        <w:t xml:space="preserve">higher; it reaches</w:t>
      </w:r>
      <w:r>
        <w:t xml:space="preserve"> </w:t>
      </w:r>
      <m:oMath>
        <m:r>
          <m:t>0.845</m:t>
        </m:r>
      </m:oMath>
      <w:r>
        <w:t xml:space="preserve"> </w:t>
      </w:r>
      <w:r>
        <w:t xml:space="preserve">preference accuracy overall (</w:t>
      </w:r>
      <m:oMath>
        <m:r>
          <m:t>0.94</m:t>
        </m:r>
      </m:oMath>
      <w:r>
        <w:t xml:space="preserve"> </w:t>
      </w:r>
      <w:r>
        <w:t xml:space="preserve">on the natural split), exceeding the expected accuracy</w:t>
      </w:r>
      <w:r>
        <w:t xml:space="preserve"> </w:t>
      </w:r>
      <w:r>
        <w:t xml:space="preserve">of a single judge chosen blind (</w:t>
      </w:r>
      <m:oMath>
        <m:r>
          <m:t>0.76</m:t>
        </m:r>
      </m:oMath>
      <w:r>
        <w:t xml:space="preserve">) by</w:t>
      </w:r>
      <w:r>
        <w:t xml:space="preserve"> </w:t>
      </w:r>
      <m:oMath>
        <m:r>
          <m:t>0.08</m:t>
        </m:r>
      </m:oMath>
      <w:r>
        <w:t xml:space="preserve"> </w:t>
      </w:r>
      <w:r>
        <w:t xml:space="preserve">and matching the best single judge (</w:t>
      </w:r>
      <m:oMath>
        <m:r>
          <m:t>0.84</m:t>
        </m:r>
      </m:oMath>
      <w:r>
        <w:t xml:space="preserve">) without needing to know</w:t>
      </w:r>
      <w:r>
        <w:t xml:space="preserve"> </w:t>
      </w:r>
      <w:r>
        <w:t xml:space="preserve">which judge that is. Because peer-agreement weights are near-uniform on a clean panel, the weighted and unweighted</w:t>
      </w:r>
      <w:r>
        <w:t xml:space="preserve"> </w:t>
      </w:r>
      <w:r>
        <w:t xml:space="preserve">panels coincide here; the weighting earns its value under judge-pool contamination (Section 5.2).</w:t>
      </w:r>
    </w:p>
    <w:p>
      <w:pPr>
        <w:pStyle w:val="BodyText"/>
        <w:jc w:val="both"/>
        <w:keepNext w:val="0"/>
        <w:keepLines w:val="0"/>
        <w:widowControl w:val="1"/>
      </w:pPr>
      <w:r>
        <w:rPr>
          <w:b/>
          <w:bCs/>
        </w:rPr>
        <w:t xml:space="preserve">Agreement with human judgments.</w:t>
      </w:r>
      <w:r>
        <w:t xml:space="preserve"> </w:t>
      </w:r>
      <w:r>
        <w:t xml:space="preserve">CoEval cross-family panel versus humans on two standard</w:t>
      </w:r>
      <w:r>
        <w:t xml:space="preserve"> </w:t>
      </w:r>
      <w:r>
        <w:t xml:space="preserve">meta-evaluation benchmarks: SummEval (Spearman of panel score with expert ratings,</w:t>
      </w:r>
      <w:r>
        <w:t xml:space="preserve"> </w:t>
      </w:r>
      <m:oMath>
        <m:r>
          <m:t>n</m:t>
        </m:r>
        <m:r>
          <m:rPr>
            <m:sty m:val="p"/>
          </m:rPr>
          <m:t>=</m:t>
        </m:r>
        <m:r>
          <m:t>293</m:t>
        </m:r>
      </m:oMath>
      <w:r>
        <w:t xml:space="preserve">) and LLMBar (accuracy</w:t>
      </w:r>
      <w:r>
        <w:t xml:space="preserve"> </w:t>
      </w:r>
      <w:r>
        <w:t xml:space="preserve">at matching the human-preferred output,</w:t>
      </w:r>
      <w:r>
        <w:t xml:space="preserve"> </w:t>
      </w:r>
      <m:oMath>
        <m:r>
          <m:t>n</m:t>
        </m:r>
        <m:r>
          <m:rPr>
            <m:sty m:val="p"/>
          </m:rPr>
          <m:t>=</m:t>
        </m:r>
        <m:r>
          <m:t>400</m:t>
        </m:r>
      </m:oMath>
      <w:r>
        <w:t xml:space="preserve">). The panel tracks or exceeds the best single judge, which a</w:t>
      </w:r>
      <w:r>
        <w:t xml:space="preserve"> </w:t>
      </w:r>
      <w:r>
        <w:t xml:space="preserve">label-free user cannot select in advance, and clearly beats the blind single-judge average.</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0"/>
          <w:type w:val="continuous"/>
          <w:pgSz w:h="16838" w:w="11906"/>
          <w:pgMar w:bottom="1417" w:footer="720" w:gutter="0" w:header="720" w:left="1417" w:right="1417" w:top="1417"/>
          <w:lnNumType w:countBy="1" w:restart="continuous" w:distance="284"/>
          <w:cols w:num="2" w:space="340" w:equalWidth="1"/>
          <w:docGrid w:linePitch="360"/>
        </w:sectPr>
      </w:pPr>
    </w:p>
    <w:tbl>
      <w:tblPr>
        <w:tblStyle w:val="Table"/>
        <w:tblW w:type="pct" w:w="5000"/>
        <w:jc w:val="center"/>
        <w:tblLook w:firstRow="1" w:lastRow="0" w:firstColumn="0" w:lastColumn="0" w:noHBand="0" w:noVBand="0" w:val="0020"/>
        <w:tblCaption w:val="Agreement with human judgments. CoEval cross-family panel versus humans on two standard meta-evaluation benchmarks: SummEval (Spearman of panel score with expert ratings, n = 293) and LLMBar (accuracy at matching the human-preferred output, n = 400). The panel tracks or exceeds the best single judge, which a label-free user cannot select in advance, and clearly beats the blind single-judge averag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Benchmark and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Best single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Blind single (avg)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relevance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coherence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consistency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LLMBar overall (accuracy)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0.762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LLMBar natural split (accuracy)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0.831</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1"/>
          <w:type w:val="continuous"/>
          <w:pgSz w:h="16838" w:w="11906"/>
          <w:pgMar w:bottom="1417" w:footer="720" w:gutter="0" w:header="720" w:left="1417" w:right="1417" w:top="1417"/>
          <w:lnNumType w:countBy="1" w:restart="continuous" w:distance="284"/>
          <w:cols w:num="1" w:space="340"/>
          <w:docGrid w:linePitch="360"/>
        </w:sectPr>
      </w:pPr>
    </w:p>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its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2"/>
          <w:type w:val="continuous"/>
          <w:pgSz w:h="16838" w:w="11906"/>
          <w:pgMar w:bottom="1417" w:footer="720" w:gutter="0" w:header="720" w:left="1417" w:right="1417" w:top="1417"/>
          <w:lnNumType w:countBy="1" w:restart="continuous" w:distance="284"/>
          <w:cols w:num="2" w:space="340"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3"/>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Composition matters because the</w:t>
      </w:r>
      <w:r>
        <w:t xml:space="preserve"> </w:t>
      </w:r>
      <w:r>
        <w:rPr>
          <w:i/>
          <w:iCs/>
        </w:rPr>
        <w:t xml:space="preserve">wrong single judge can actively mislead</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5.6)</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with the rogue judge receiving weight</w:t>
      </w:r>
      <w:r>
        <w:t xml:space="preserve"> </w:t>
      </w:r>
      <m:oMath>
        <m:r>
          <m:t>0.00</m:t>
        </m:r>
      </m:oMath>
      <w:r>
        <w:t xml:space="preserve">. Compared against standard</w:t>
      </w:r>
      <w:r>
        <w:t xml:space="preserve"> </w:t>
      </w:r>
      <w:r>
        <w:t xml:space="preserve">baselines on the same scores (Table 4), the doubly-robust ranking matches or beats the best single judge (an</w:t>
      </w:r>
      <w:r>
        <w:t xml:space="preserve"> </w:t>
      </w:r>
      <w:r>
        <w:t xml:space="preserve">oracle, since which judge is best is not knowable without labels), the unweighted panel (PoLL), and the median; its</w:t>
      </w:r>
      <w:r>
        <w:t xml:space="preserve"> </w:t>
      </w:r>
      <w:r>
        <w:t xml:space="preserve">decisive advantage is robustness to a contaminated judge pool: adding rogue judges steadily degrades the unweighted</w:t>
      </w:r>
      <w:r>
        <w:t xml:space="preserve"> </w:t>
      </w:r>
      <w:r>
        <w:t xml:space="preserve">mean (0.88, 0.85, 0.64) and even the median (0.94, 0.91, 0.71) at zero, one, and three rogue judges, while the</w:t>
      </w:r>
      <w:r>
        <w:t xml:space="preserve"> </w:t>
      </w:r>
      <w:r>
        <w:t xml:space="preserve">doubly-robust ranking is invariant to a minority rogue (0.95) and still leads at rogue parity (0.79).</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5"/>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Best single judge (oracle)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mean (PoLL)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median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with injected random judge: panel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6"/>
          <w:type w:val="continuous"/>
          <w:pgSz w:h="16838" w:w="11906"/>
          <w:pgMar w:bottom="1417" w:footer="720" w:gutter="0" w:header="720" w:left="1417" w:right="1417" w:top="1417"/>
          <w:lnNumType w:countBy="1" w:restart="continuous" w:distance="284"/>
          <w:cols w:num="1" w:space="340"/>
          <w:docGrid w:linePitch="360"/>
        </w:sectPr>
      </w:pP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the ensemble cancels verbosity bias (rewarding longer responses) on the four-task</w:t>
      </w:r>
      <w:r>
        <w:t xml:space="preserve"> </w:t>
      </w:r>
      <w:r>
        <w:rPr>
          <w:rStyle w:val="VerbatimChar"/>
        </w:rPr>
        <w:t xml:space="preserve">medium-benchmark</w:t>
      </w:r>
      <w:r>
        <w:t xml:space="preserve"> </w:t>
      </w:r>
      <w:r>
        <w:t xml:space="preserve">run. Per judge, length biases are of</w:t>
      </w:r>
      <w:r>
        <w:t xml:space="preserve"> </w:t>
      </w:r>
      <w:r>
        <w:rPr>
          <w:i/>
          <w:iCs/>
        </w:rPr>
        <w:t xml:space="preserve">mixed sign</w:t>
      </w:r>
      <w:r>
        <w:t xml:space="preserve">:</w:t>
      </w:r>
      <w:r>
        <w:t xml:space="preserve"> </w:t>
      </w:r>
      <w:r>
        <w:rPr>
          <w:rStyle w:val="VerbatimChar"/>
        </w:rPr>
        <w:t xml:space="preserve">gpt-3.5-turbo</w:t>
      </w:r>
      <w:r>
        <w:t xml:space="preserve"> </w:t>
      </w:r>
      <w:r>
        <w:t xml:space="preserve">penalizes length (</w:t>
      </w:r>
      <m:oMath>
        <m:r>
          <m:t>r</m:t>
        </m:r>
        <m:r>
          <m:rPr>
            <m:sty m:val="p"/>
          </m:rPr>
          <m:t>=</m:t>
        </m:r>
        <m:r>
          <m:rPr>
            <m:sty m:val="p"/>
          </m:rPr>
          <m:t>−</m:t>
        </m:r>
        <m:r>
          <m:t>0.177</m:t>
        </m:r>
      </m:oMath>
      <w:r>
        <w:t xml:space="preserve">),</w:t>
      </w:r>
      <w:r>
        <w:t xml:space="preserve"> </w:t>
      </w:r>
      <w:r>
        <w:rPr>
          <w:rStyle w:val="VerbatimChar"/>
        </w:rPr>
        <w:t xml:space="preserve">smollm2-1.7b</w:t>
      </w:r>
      <w:r>
        <w:t xml:space="preserve"> </w:t>
      </w:r>
      <w:r>
        <w:t xml:space="preserve">rewards it (</w:t>
      </w:r>
      <m:oMath>
        <m:r>
          <m:t>r</m:t>
        </m:r>
        <m:r>
          <m:rPr>
            <m:sty m:val="p"/>
          </m:rPr>
          <m:t>=</m:t>
        </m:r>
        <m:r>
          <m:rPr>
            <m:sty m:val="p"/>
          </m:rPr>
          <m:t>+</m:t>
        </m:r>
        <m:r>
          <m:t>0.234</m:t>
        </m:r>
      </m:oMath>
      <w:r>
        <w:t xml:space="preserve">), with panel mean</w:t>
      </w:r>
      <w:r>
        <w:t xml:space="preserve"> </w:t>
      </w:r>
      <m:oMath>
        <m:bar>
          <m:barPr>
            <m:pos m:val="top"/>
          </m:barPr>
          <m:e>
            <m:r>
              <m:rPr>
                <m:sty m:val="p"/>
              </m:rPr>
              <m:t>|</m:t>
            </m:r>
            <m:r>
              <m:t>r</m:t>
            </m:r>
            <m:r>
              <m:rPr>
                <m:sty m:val="p"/>
              </m:rPr>
              <m:t>|</m:t>
            </m:r>
          </m:e>
        </m:bar>
        <m:r>
          <m:rPr>
            <m:sty m:val="p"/>
          </m:rPr>
          <m:t>=</m:t>
        </m:r>
        <m:r>
          <m:t>0.153</m:t>
        </m:r>
      </m:oMath>
      <w:r>
        <w:t xml:space="preserve"> </w:t>
      </w:r>
      <w:r>
        <w:t xml:space="preserve">and no judge length-neutral (Table 5, Figure 4). Averaging mixed-sign biases cancels</w:t>
      </w:r>
      <w:r>
        <w:t xml:space="preserve"> </w:t>
      </w:r>
      <w:r>
        <w:t xml:space="preserve">them: the</w:t>
      </w:r>
      <w:r>
        <w:t xml:space="preserve"> </w:t>
      </w:r>
      <w:r>
        <w:rPr>
          <w:b/>
          <w:bCs/>
        </w:rPr>
        <w:t xml:space="preserve">ensemble</w:t>
      </w:r>
      <w:r>
        <w:t xml:space="preserve"> </w:t>
      </w:r>
      <w:r>
        <w:t xml:space="preserve">length-score correlation is</w:t>
      </w:r>
      <w:r>
        <w:t xml:space="preserve"> </w:t>
      </w:r>
      <m:oMath>
        <m:r>
          <m:t>r</m:t>
        </m:r>
        <m:r>
          <m:rPr>
            <m:sty m:val="p"/>
          </m:rPr>
          <m:t>=</m:t>
        </m:r>
        <m:r>
          <m:rPr>
            <m:sty m:val="p"/>
          </m:rPr>
          <m:t>+</m:t>
        </m:r>
        <m:r>
          <m:t>0.010</m:t>
        </m:r>
      </m:oMath>
      <w:r>
        <w:t xml:space="preserve"> </w:t>
      </w:r>
      <w:r>
        <w:t xml:space="preserve">(95% bootstrap CI</w:t>
      </w:r>
      <w:r>
        <w:t xml:space="preserve"> </w:t>
      </w:r>
      <m:oMath>
        <m:r>
          <m:rPr>
            <m:sty m:val="p"/>
          </m:rPr>
          <m:t>[</m:t>
        </m:r>
        <m:r>
          <m:rPr>
            <m:sty m:val="p"/>
          </m:rPr>
          <m:t>−</m:t>
        </m:r>
        <m:r>
          <m:t>0.039</m:t>
        </m:r>
        <m:r>
          <m:rPr>
            <m:sty m:val="p"/>
          </m:rPr>
          <m:t>,</m:t>
        </m:r>
        <m:r>
          <m:t> </m:t>
        </m:r>
        <m:r>
          <m:rPr>
            <m:sty m:val="p"/>
          </m:rPr>
          <m:t>+</m:t>
        </m:r>
        <m:r>
          <m:t>0.057</m:t>
        </m:r>
        <m:r>
          <m:rPr>
            <m:sty m:val="p"/>
          </m:rPr>
          <m:t>]</m:t>
        </m:r>
      </m:oMath>
      <w:r>
        <w:t xml:space="preserve">,</w:t>
      </w:r>
      <w:r>
        <w:t xml:space="preserve"> </w:t>
      </w:r>
      <w:r>
        <w:t xml:space="preserve">spanning zero), a 93% reduction relative to the per-judge mean and statistically indistinguishable from length-neutral.</w:t>
      </w:r>
      <w:r>
        <w:t xml:space="preserve"> </w:t>
      </w:r>
      <w:r>
        <w:t xml:space="preserve">The cancellation comes from bias-sign diversity, which in this panel is correlated with vendor family, so vendor</w:t>
      </w:r>
      <w:r>
        <w:t xml:space="preserve"> </w:t>
      </w:r>
      <w:r>
        <w:t xml:space="preserve">diversity is a convenient, observable proxy for assembling judges whose idiosyncratic biases are unlikely to align.</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7"/>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Verbosity bias (Pearson r between response length and score) for representative individual judges versus the CoEval ensemble. Individual judges carry length biases of opposite sign that the ensemble cancels to a residual centered near zero.</w:t>
      </w:r>
    </w:p>
    <w:tbl>
      <w:tblPr>
        <w:tblStyle w:val="Table"/>
        <w:tblW w:type="pct" w:w="5000"/>
        <w:jc w:val="center"/>
        <w:tblLook w:firstRow="1" w:lastRow="0" w:firstColumn="0" w:lastColumn="0" w:noHBand="0" w:noVBand="0" w:val="0020"/>
        <w:tblCaption w:val="Table 5. Verbosity bias (Pearson r between response length and score) for representative individual judges versus the CoEval ensemble. Individual judges carry length biases of opposite sign that the ensemble cancels to a residual centered near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mean</w:t>
            </w:r>
            <w:r>
              <w:rPr>
                <w:rFonts w:ascii="Times New Roman" w:hAnsi="Times New Roman"/>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Verbosity bias by judge. Each judge's Pearson correlation between response length and score (point) with its 95% bootstrap CI; the ensemble (green) sits at r = +0.010 with a CI spanning zero. Mixed-sign per-judge biases cancel under averaging.</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9"/>
          <w:type w:val="continuous"/>
          <w:pgSz w:h="16838" w:w="11906"/>
          <w:pgMar w:bottom="1417" w:footer="720" w:gutter="0" w:header="720" w:left="1417" w:right="1417" w:top="1417"/>
          <w:lnNumType w:countBy="1" w:restart="continuous" w:distance="284"/>
          <w:cols w:num="1" w:space="340"/>
          <w:docGrid w:linePitch="360"/>
        </w:sectPr>
      </w:pP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 (</w:t>
      </w:r>
      <w:r>
        <w:rPr>
          <w:i/>
          <w:iCs/>
        </w:rPr>
        <w:t xml:space="preserve">Preference Leakage</w:t>
      </w:r>
      <w:r>
        <w:t xml:space="preserve"> </w:t>
      </w:r>
      <w:r>
        <w:t xml:space="preserve">[</w:t>
      </w:r>
      <w:hyperlink w:anchor="r15">
        <w:r>
          <w:rPr>
            <w:rStyle w:val="Hyperlink"/>
          </w:rPr>
          <w:t xml:space="preserve">15</w:t>
        </w:r>
      </w:hyperlink>
      <w:r>
        <w:t xml:space="preserve">];</w:t>
      </w:r>
      <w:r>
        <w:t xml:space="preserve"> </w:t>
      </w:r>
      <w:r>
        <w:rPr>
          <w:i/>
          <w:iCs/>
        </w:rPr>
        <w:t xml:space="preserve">Play Favorites</w:t>
      </w:r>
      <w:r>
        <w:t xml:space="preserve"> </w:t>
      </w:r>
      <w:r>
        <w:t xml:space="preserve">[</w:t>
      </w:r>
      <w:hyperlink w:anchor="r16">
        <w:r>
          <w:rPr>
            <w:rStyle w:val="Hyperlink"/>
          </w:rPr>
          <w:t xml:space="preserve">16</w:t>
        </w:r>
      </w:hyperlink>
      <w:r>
        <w:t xml:space="preserve">]). CoEval addresses this</w:t>
      </w:r>
      <w:r>
        <w:t xml:space="preserve"> </w:t>
      </w:r>
      <w:r>
        <w:rPr>
          <w:i/>
          <w:iCs/>
        </w:rPr>
        <w:t xml:space="preserve">structurally</w:t>
      </w:r>
      <w:r>
        <w:t xml:space="preserve">:</w:t>
      </w:r>
      <w:r>
        <w:t xml:space="preserve"> </w:t>
      </w:r>
      <w:r>
        <w:t xml:space="preserve">requiring the judge panel to be vendor-disjoint from the student under test precludes any model from scoring its own</w:t>
      </w:r>
      <w:r>
        <w:t xml:space="preserve"> </w:t>
      </w:r>
      <w:r>
        <w:t xml:space="preserve">family, so a same-family preference cannot enter the aggregate at all, regardless of its magnitude on any individual</w:t>
      </w:r>
      <w:r>
        <w:t xml:space="preserve"> </w:t>
      </w:r>
      <w:r>
        <w:t xml:space="preserve">model.</w:t>
      </w:r>
    </w:p>
    <w:p>
      <w:pPr>
        <w:pStyle w:val="BodyText"/>
        <w:jc w:val="both"/>
        <w:keepNext w:val="0"/>
        <w:keepLines w:val="0"/>
        <w:widowControl w:val="1"/>
      </w:pPr>
      <w:r>
        <w:t xml:space="preserve">Measured directly, the residual same-family preference is small and inconsistent in sign. Using</w:t>
      </w:r>
      <w:r>
        <w:t xml:space="preserve"> </w:t>
      </w:r>
      <w:r>
        <w:rPr>
          <w:rStyle w:val="VerbatimChar"/>
        </w:rPr>
        <w:t xml:space="preserve">gpt-4o-mini</w:t>
      </w:r>
      <w:r>
        <w:t xml:space="preserve"> </w:t>
      </w:r>
      <w:r>
        <w:t xml:space="preserve">as both a judge and a candidate in the verticals (Section 5.6), a difference-in-differences</w:t>
      </w:r>
      <w:r>
        <w:t xml:space="preserve"> </w:t>
      </w:r>
      <w:r>
        <w:t xml:space="preserve">that controls for a judge's overall harshness gives</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w:t>
      </w:r>
      <w:r>
        <w:t xml:space="preserve"> </w:t>
      </w:r>
      <w:r>
        <w:t xml:space="preserve">legal, and</w:t>
      </w:r>
      <w:r>
        <w:t xml:space="preserve"> </w:t>
      </w:r>
      <m:oMath>
        <m:r>
          <m:rPr>
            <m:sty m:val="p"/>
          </m:rPr>
          <m:t>−</m:t>
        </m:r>
        <m:r>
          <m:t>0.04</m:t>
        </m:r>
      </m:oMath>
      <w:r>
        <w:t xml:space="preserve"> </w:t>
      </w:r>
      <w:r>
        <w:t xml:space="preserve">on drug-interaction: no systematic self-inflation survives. As an explicit safeguard,</w:t>
      </w:r>
      <w:r>
        <w:t xml:space="preserve"> </w:t>
      </w:r>
      <w:r>
        <w:rPr>
          <w:i/>
          <w:iCs/>
        </w:rPr>
        <w:t xml:space="preserve">vendor-disjoint aggregation</w:t>
      </w:r>
      <w:r>
        <w:t xml:space="preserve"> </w:t>
      </w:r>
      <w:r>
        <w:t xml:space="preserve">(when scoring a model, dropping any judge sharing its vendor family) leaves every</w:t>
      </w:r>
      <w:r>
        <w:t xml:space="preserve"> </w:t>
      </w:r>
      <w:r>
        <w:t xml:space="preserve">ranking in Tables 3 and 6 unchanged, with per-model scores shifting by at most</w:t>
      </w:r>
      <w:r>
        <w:t xml:space="preserve"> </w:t>
      </w:r>
      <m:oMath>
        <m:r>
          <m:t>0.016</m:t>
        </m:r>
      </m:oMath>
      <w:r>
        <w:t xml:space="preserve">, confirming the</w:t>
      </w:r>
      <w:r>
        <w:t xml:space="preserve"> </w:t>
      </w:r>
      <w:r>
        <w:t xml:space="preserve">cross-family rankings are already robust to same-family bias.</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37"/>
    <w:bookmarkStart w:id="38" w:name="putting-it-together-domain-case-studies"/>
    <w:p>
      <w:pPr>
        <w:pStyle w:val="Heading3"/>
        <w:keepNext/>
        <w:keepLines/>
        <w:widowControl w:val="1"/>
      </w:pPr>
      <w:r>
        <w:t xml:space="preserve">5.6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6).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0"/>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6.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0.709 [0.677, 0.744]</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1"/>
          <w:type w:val="continuous"/>
          <w:pgSz w:h="16838" w:w="11906"/>
          <w:pgMar w:bottom="1417" w:footer="720" w:gutter="0" w:header="720" w:left="1417" w:right="1417" w:top="1417"/>
          <w:lnNumType w:countBy="1" w:restart="continuous" w:distance="284"/>
          <w:cols w:num="1" w:space="340"/>
          <w:docGrid w:linePitch="360"/>
        </w:sectPr>
      </w:pPr>
    </w:p>
    <w:bookmarkEnd w:id="38"/>
    <w:bookmarkStart w:id="39" w:name="X5b909f8979da9f44974797188bca91411bc1d26"/>
    <w:p>
      <w:pPr>
        <w:pStyle w:val="Heading3"/>
        <w:keepNext/>
        <w:keepLines/>
        <w:widowControl w:val="1"/>
      </w:pPr>
      <w:r>
        <w:t xml:space="preserve">5.7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7).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3"/>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7.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4"/>
          <w:type w:val="continuous"/>
          <w:pgSz w:h="16838" w:w="11906"/>
          <w:pgMar w:bottom="1417" w:footer="720" w:gutter="0" w:header="720" w:left="1417" w:right="1417" w:top="1417"/>
          <w:lnNumType w:countBy="1" w:restart="continuous" w:distance="284"/>
          <w:cols w:num="1" w:space="340"/>
          <w:docGrid w:linePitch="360"/>
        </w:sectPr>
      </w:pPr>
    </w:p>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The composition-over-size finding explains</w:t>
      </w:r>
      <w:r>
        <w:t xml:space="preserve"> </w:t>
      </w:r>
      <w:r>
        <w:rPr>
          <w:i/>
          <w:iCs/>
        </w:rPr>
        <w:t xml:space="preserve">why</w:t>
      </w:r>
      <w:r>
        <w:t xml:space="preserve"> </w:t>
      </w:r>
      <w:r>
        <w:t xml:space="preserve">this label-free judging can be trusted.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w:t>
      </w:r>
    </w:p>
    <w:p>
      <w:pPr>
        <w:pStyle w:val="BodyText"/>
        <w:jc w:val="both"/>
        <w:keepNext w:val="0"/>
        <w:keepLines w:val="0"/>
        <w:widowControl w:val="1"/>
      </w:pPr>
      <w:r>
        <w:t xml:space="preserve">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42"/>
    <w:bookmarkStart w:id="43" w:name="limitations"/>
    <w:p>
      <w:pPr>
        <w:pStyle w:val="Heading2"/>
        <w:keepNext/>
        <w:keepLines/>
        <w:widowControl w:val="1"/>
      </w:pPr>
      <w:r>
        <w:t xml:space="preserve">Limitations</w:t>
      </w:r>
    </w:p>
    <w:p>
      <w:pPr>
        <w:pStyle w:val="FirstParagraph"/>
        <w:jc w:val="both"/>
        <w:keepNext w:val="0"/>
        <w:keepLines w:val="0"/>
        <w:widowControl w:val="1"/>
      </w:pPr>
      <w:r>
        <w:t xml:space="preserve">Three boundary conditions delimit the validated regime. First, judge accuracy is anchored to objective exact-match QA,</w:t>
      </w:r>
      <w:r>
        <w:t xml:space="preserve"> </w:t>
      </w:r>
      <w:r>
        <w:t xml:space="preserve">where labels exist (Section 5.1,</w:t>
      </w:r>
      <w:r>
        <w:t xml:space="preserve"> </w:t>
      </w:r>
      <m:oMath>
        <m:r>
          <m:t>ρ</m:t>
        </m:r>
        <m:r>
          <m:rPr>
            <m:sty m:val="p"/>
          </m:rPr>
          <m:t>=</m:t>
        </m:r>
        <m:r>
          <m:t>0.86</m:t>
        </m:r>
      </m:oMath>
      <w:r>
        <w:t xml:space="preserve">), and to human ratings on two public meta-evaluation benchmarks</w:t>
      </w:r>
      <w:r>
        <w:t xml:space="preserve"> </w:t>
      </w:r>
      <w:r>
        <w:t xml:space="preserve">(Section 5.1, SummEval and LLMBar); on the subjective custom domains (Section 5.6) the panel's trustworthiness</w:t>
      </w:r>
      <w:r>
        <w:t xml:space="preserve"> </w:t>
      </w:r>
      <w:r>
        <w:t xml:space="preserve">rests on those anchors together with its measured bias and reliability properties (Sections 5.2–5.4), and</w:t>
      </w:r>
      <w:r>
        <w:t xml:space="preserve"> </w:t>
      </w:r>
      <w:r>
        <w:t xml:space="preserve">rankings are reported as cross-family intervals rather than against a held-out gold ranking, which by assumption does</w:t>
      </w:r>
      <w:r>
        <w:t xml:space="preserve"> </w:t>
      </w:r>
      <w:r>
        <w:t xml:space="preserve">not exist. Task-specific human evaluation on those domains is the natural convergent check and the primary direction for</w:t>
      </w:r>
      <w:r>
        <w:t xml:space="preserve"> </w:t>
      </w:r>
      <w:r>
        <w:t xml:space="preserve">future validation. Second, the study spans up to thirteen candidate models across four exact-match QA tasks, three</w:t>
      </w:r>
      <w:r>
        <w:t xml:space="preserve"> </w:t>
      </w:r>
      <w:r>
        <w:t xml:space="preserve">custom verticals, a four-domain divergence study (Section 5.7), and a thirteen-model rank-recovery check</w:t>
      </w:r>
      <w:r>
        <w:t xml:space="preserve"> </w:t>
      </w:r>
      <w:r>
        <w:t xml:space="preserve">(Section 5.2); wider model pools and further domains would extend the evidence. Third, the contamination guarantee</w:t>
      </w:r>
      <w:r>
        <w:t xml:space="preserve"> </w:t>
      </w:r>
      <w:r>
        <w:t xml:space="preserve">is structural (fresh per-run synthesis), validated by zero verbatim overlap and a controlled memorization study</w:t>
      </w:r>
      <w:r>
        <w:t xml:space="preserve"> </w:t>
      </w:r>
      <w:r>
        <w:t xml:space="preserve">(Section 5.5); verbatim n-gram overlap and membership-inference probes such as Min-K% [</w:t>
      </w:r>
      <w:hyperlink w:anchor="r36">
        <w:r>
          <w:rPr>
            <w:rStyle w:val="Hyperlink"/>
          </w:rPr>
          <w:t xml:space="preserve">36</w:t>
        </w:r>
      </w:hyperlink>
      <w:r>
        <w:t xml:space="preserve">]</w:t>
      </w:r>
      <w:r>
        <w:t xml:space="preserve"> </w:t>
      </w:r>
      <w:r>
        <w:t xml:space="preserve">answer complementary questions, the former whether an item is reproduced, the latter whether it was seen during</w:t>
      </w:r>
      <w:r>
        <w:t xml:space="preserve"> </w:t>
      </w:r>
      <w:r>
        <w:t xml:space="preserve">pretraining.</w:t>
      </w:r>
    </w:p>
    <w:bookmarkEnd w:id="43"/>
    <w:bookmarkStart w:id="44" w:name="ethics-statement"/>
    <w:p>
      <w:pPr>
        <w:pStyle w:val="Heading2"/>
        <w:keepNext/>
        <w:keepLines/>
        <w:widowControl w:val="1"/>
      </w:pPr>
      <w:r>
        <w:t xml:space="preserve">Ethics Statement</w:t>
      </w:r>
    </w:p>
    <w:p>
      <w:pPr>
        <w:pStyle w:val="FirstParagraph"/>
        <w:jc w:val="both"/>
        <w:keepNext w:val="0"/>
        <w:keepLines w:val="0"/>
        <w:widowControl w:val="1"/>
      </w:pPr>
      <w:r>
        <w:t xml:space="preserve">CoEval evaluates language models and involves no new human-subjects data collection. The human judgments used to</w:t>
      </w:r>
      <w:r>
        <w:t xml:space="preserve"> </w:t>
      </w:r>
      <w:r>
        <w:t xml:space="preserve">validate the judge (Section 5.1) come from existing public meta-evaluation benchmarks (SummEval, LLMBar) used</w:t>
      </w:r>
      <w:r>
        <w:t xml:space="preserve"> </w:t>
      </w:r>
      <w:r>
        <w:t xml:space="preserve">under their released licenses. The drug-interaction, clinical, and legal verticals (Section 5.6) are illustrations</w:t>
      </w:r>
      <w:r>
        <w:t xml:space="preserve"> </w:t>
      </w:r>
      <w:r>
        <w:t xml:space="preserve">of contamination-free benchmark generation, not validated decision-support systems, and should not be used for clinical</w:t>
      </w:r>
      <w:r>
        <w:t xml:space="preserve"> </w:t>
      </w:r>
      <w:r>
        <w:t xml:space="preserve">or legal decisions. Because CoEval generates evaluation items and scores them with language models, generated items and</w:t>
      </w:r>
      <w:r>
        <w:t xml:space="preserve"> </w:t>
      </w:r>
      <w:r>
        <w:t xml:space="preserve">rubrics can inherit model biases; the cross-family panel and the contamination checks mitigate but do not eliminate this</w:t>
      </w:r>
      <w:r>
        <w:t xml:space="preserve"> </w:t>
      </w:r>
      <w:r>
        <w:t xml:space="preserve">risk, and a practitioner applying CoEval in a high-stakes domain should pair it with human oversight.</w:t>
      </w:r>
    </w:p>
    <w:bookmarkEnd w:id="44"/>
    <w:bookmarkStart w:id="45" w:name="reproducibility"/>
    <w:p>
      <w:pPr>
        <w:pStyle w:val="Heading2"/>
        <w:keepNext/>
        <w:keepLines/>
        <w:widowControl w:val="1"/>
      </w:pPr>
      <w:r>
        <w:t xml:space="preserve">Reproducibility</w:t>
      </w:r>
    </w:p>
    <w:p>
      <w:pPr>
        <w:pStyle w:val="FirstParagraph"/>
        <w:jc w:val="both"/>
        <w:keepNext w:val="0"/>
        <w:keepLines w:val="0"/>
        <w:widowControl w:val="1"/>
      </w:pPr>
      <w:r>
        <w:t xml:space="preserve">Every experiment is driven by a declarative configuration file and is reproducible end to end. The framework, the</w:t>
      </w:r>
      <w:r>
        <w:t xml:space="preserve"> </w:t>
      </w:r>
      <w:r>
        <w:t xml:space="preserve">canonical prompt templates (Appendix C), the attribute and rubric specifications, the judge-panel definitions, and</w:t>
      </w:r>
      <w:r>
        <w:t xml:space="preserve"> </w:t>
      </w:r>
      <w:r>
        <w:t xml:space="preserve">the analysis code are released open-source, and the per-run scores and recovered rankings are recorded as artifacts. The</w:t>
      </w:r>
      <w:r>
        <w:t xml:space="preserve"> </w:t>
      </w:r>
      <w:r>
        <w:t xml:space="preserve">statistical estimators (ICC, bootstrap confidence intervals, the doubly-robust aggregator) are defined in</w:t>
      </w:r>
      <w:r>
        <w:t xml:space="preserve"> </w:t>
      </w:r>
      <w:r>
        <w:t xml:space="preserve">Appendix A.</w:t>
      </w:r>
    </w:p>
    <w:bookmarkEnd w:id="45"/>
    <w:bookmarkStart w:id="122"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 </w:t>
      </w:r>
      <w:bookmarkStart w:id="47"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6">
        <w:r>
          <w:rPr>
            <w:rStyle w:val="Hyperlink"/>
          </w:rPr>
          <w:t xml:space="preserve">arxiv.org/abs/2306.05685</w:t>
        </w:r>
      </w:hyperlink>
      <w:bookmarkEnd w:id="4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 </w:t>
      </w:r>
      <w:bookmarkStart w:id="49"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8">
        <w:r>
          <w:rPr>
            <w:rStyle w:val="Hyperlink"/>
          </w:rPr>
          <w:t xml:space="preserve">arxiv.org/abs/2303.16634</w:t>
        </w:r>
      </w:hyperlink>
      <w:bookmarkEnd w:id="4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 </w:t>
      </w:r>
      <w:bookmarkStart w:id="51"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50">
        <w:r>
          <w:rPr>
            <w:rStyle w:val="Hyperlink"/>
          </w:rPr>
          <w:t xml:space="preserve">arxiv.org/abs/2405.01535</w:t>
        </w:r>
      </w:hyperlink>
      <w:bookmarkEnd w:id="5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4. </w:t>
      </w:r>
      <w:bookmarkStart w:id="53"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2">
        <w:r>
          <w:rPr>
            <w:rStyle w:val="Hyperlink"/>
          </w:rPr>
          <w:t xml:space="preserve">arxiv.org/abs/2407.10817</w:t>
        </w:r>
      </w:hyperlink>
      <w:bookmarkEnd w:id="5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5. </w:t>
      </w:r>
      <w:bookmarkStart w:id="55"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4">
        <w:r>
          <w:rPr>
            <w:rStyle w:val="Hyperlink"/>
          </w:rPr>
          <w:t xml:space="preserve">arxiv.org/abs/2404.18796</w:t>
        </w:r>
      </w:hyperlink>
      <w:bookmarkEnd w:id="5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6. </w:t>
      </w:r>
      <w:bookmarkStart w:id="57"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6">
        <w:r>
          <w:rPr>
            <w:rStyle w:val="Hyperlink"/>
          </w:rPr>
          <w:t xml:space="preserve">arxiv.org/abs/2410.12784</w:t>
        </w:r>
      </w:hyperlink>
      <w:bookmarkEnd w:id="5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7. </w:t>
      </w:r>
      <w:bookmarkStart w:id="59"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8">
        <w:r>
          <w:rPr>
            <w:rStyle w:val="Hyperlink"/>
          </w:rPr>
          <w:t xml:space="preserve">arxiv.org/abs/2406.05761</w:t>
        </w:r>
      </w:hyperlink>
      <w:bookmarkEnd w:id="5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8. </w:t>
      </w:r>
      <w:bookmarkStart w:id="61"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60">
        <w:r>
          <w:rPr>
            <w:rStyle w:val="Hyperlink"/>
          </w:rPr>
          <w:t xml:space="preserve">arxiv.org/abs/2404.04475</w:t>
        </w:r>
      </w:hyperlink>
      <w:bookmarkEnd w:id="6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9. </w:t>
      </w:r>
      <w:bookmarkStart w:id="63" w:name="r9"/>
      <w:r>
        <w:t xml:space="preserve">Li, X. L., Kazemi, M., et al. (2024).</w:t>
      </w:r>
      <w:r>
        <w:t xml:space="preserve"> </w:t>
      </w:r>
      <w:r>
        <w:rPr>
          <w:i/>
          <w:iCs/>
        </w:rPr>
        <w:t xml:space="preserve">AutoBencher: Towards Declarative Benchmark Construction.</w:t>
      </w:r>
      <w:r>
        <w:t xml:space="preserve"> </w:t>
      </w:r>
      <w:hyperlink r:id="rId62">
        <w:r>
          <w:rPr>
            <w:rStyle w:val="Hyperlink"/>
          </w:rPr>
          <w:t xml:space="preserve">arxiv.org/abs/2407.08351</w:t>
        </w:r>
      </w:hyperlink>
      <w:bookmarkEnd w:id="6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10. </w:t>
      </w:r>
      <w:bookmarkStart w:id="65"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4">
        <w:r>
          <w:rPr>
            <w:rStyle w:val="Hyperlink"/>
          </w:rPr>
          <w:t xml:space="preserve">arxiv.org/abs/2410.22584</w:t>
        </w:r>
      </w:hyperlink>
      <w:bookmarkEnd w:id="6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11. </w:t>
      </w:r>
      <w:bookmarkStart w:id="67" w:name="r11"/>
      <w:r>
        <w:t xml:space="preserve">Shashidhar, S., et al. (2025).</w:t>
      </w:r>
      <w:r>
        <w:t xml:space="preserve"> </w:t>
      </w:r>
      <w:r>
        <w:rPr>
          <w:i/>
          <w:iCs/>
        </w:rPr>
        <w:t xml:space="preserve">YourBench: Easy Custom Evaluation Sets for Everyone.</w:t>
      </w:r>
      <w:r>
        <w:t xml:space="preserve"> </w:t>
      </w:r>
      <w:hyperlink r:id="rId66">
        <w:r>
          <w:rPr>
            <w:rStyle w:val="Hyperlink"/>
          </w:rPr>
          <w:t xml:space="preserve">arxiv.org/abs/2504.01833</w:t>
        </w:r>
      </w:hyperlink>
      <w:bookmarkEnd w:id="6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12. </w:t>
      </w:r>
      <w:bookmarkStart w:id="69"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8">
        <w:r>
          <w:rPr>
            <w:rStyle w:val="Hyperlink"/>
          </w:rPr>
          <w:t xml:space="preserve">arxiv.org/abs/2405.00332</w:t>
        </w:r>
      </w:hyperlink>
      <w:bookmarkEnd w:id="6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13. </w:t>
      </w:r>
      <w:bookmarkStart w:id="71" w:name="r13"/>
      <w:r>
        <w:t xml:space="preserve">Xu, C., et al. (2025).</w:t>
      </w:r>
      <w:r>
        <w:t xml:space="preserve"> </w:t>
      </w:r>
      <w:r>
        <w:rPr>
          <w:i/>
          <w:iCs/>
        </w:rPr>
        <w:t xml:space="preserve">Benchmark Data Contamination of Large Language Models: A Survey.</w:t>
      </w:r>
      <w:r>
        <w:t xml:space="preserve"> </w:t>
      </w:r>
      <w:hyperlink r:id="rId70">
        <w:r>
          <w:rPr>
            <w:rStyle w:val="Hyperlink"/>
          </w:rPr>
          <w:t xml:space="preserve">arxiv.org/abs/2502.14425</w:t>
        </w:r>
      </w:hyperlink>
      <w:bookmarkEnd w:id="7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14. </w:t>
      </w:r>
      <w:bookmarkStart w:id="73"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2">
        <w:r>
          <w:rPr>
            <w:rStyle w:val="Hyperlink"/>
          </w:rPr>
          <w:t xml:space="preserve">arxiv.org/abs/2104.14337</w:t>
        </w:r>
      </w:hyperlink>
      <w:bookmarkEnd w:id="7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15. </w:t>
      </w:r>
      <w:bookmarkStart w:id="75"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4">
        <w:r>
          <w:rPr>
            <w:rStyle w:val="Hyperlink"/>
          </w:rPr>
          <w:t xml:space="preserve">arxiv.org/abs/2502.01534</w:t>
        </w:r>
      </w:hyperlink>
      <w:bookmarkEnd w:id="7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16. </w:t>
      </w:r>
      <w:bookmarkStart w:id="77"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6">
        <w:r>
          <w:rPr>
            <w:rStyle w:val="Hyperlink"/>
          </w:rPr>
          <w:t xml:space="preserve">arxiv.org/abs/2508.06709</w:t>
        </w:r>
      </w:hyperlink>
      <w:bookmarkEnd w:id="7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17. </w:t>
      </w:r>
      <w:bookmarkStart w:id="79"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8">
        <w:r>
          <w:rPr>
            <w:rStyle w:val="Hyperlink"/>
          </w:rPr>
          <w:t xml:space="preserve">arxiv.org/abs/2410.02736</w:t>
        </w:r>
      </w:hyperlink>
      <w:bookmarkEnd w:id="7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18. </w:t>
      </w:r>
      <w:bookmarkStart w:id="81" w:name="r18"/>
      <w:r>
        <w:t xml:space="preserve">Wataoka, K., Takahashi, T., Ri, R. (2024).</w:t>
      </w:r>
      <w:r>
        <w:t xml:space="preserve"> </w:t>
      </w:r>
      <w:r>
        <w:rPr>
          <w:i/>
          <w:iCs/>
        </w:rPr>
        <w:t xml:space="preserve">Self-Preference Bias in LLM-as-a-Judge.</w:t>
      </w:r>
      <w:r>
        <w:t xml:space="preserve"> </w:t>
      </w:r>
      <w:hyperlink r:id="rId80">
        <w:r>
          <w:rPr>
            <w:rStyle w:val="Hyperlink"/>
          </w:rPr>
          <w:t xml:space="preserve">arxiv.org/abs/2410.21819</w:t>
        </w:r>
      </w:hyperlink>
      <w:bookmarkEnd w:id="8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19. </w:t>
      </w:r>
      <w:bookmarkStart w:id="83" w:name="r19"/>
      <w:r>
        <w:t xml:space="preserve">Gu, J., Jiang, X., Shi, Z., et al. (2024).</w:t>
      </w:r>
      <w:r>
        <w:t xml:space="preserve"> </w:t>
      </w:r>
      <w:r>
        <w:rPr>
          <w:i/>
          <w:iCs/>
        </w:rPr>
        <w:t xml:space="preserve">A Survey on LLM-as-a-Judge.</w:t>
      </w:r>
      <w:r>
        <w:t xml:space="preserve"> </w:t>
      </w:r>
      <w:hyperlink r:id="rId82">
        <w:r>
          <w:rPr>
            <w:rStyle w:val="Hyperlink"/>
          </w:rPr>
          <w:t xml:space="preserve">arxiv.org/abs/2411.15594</w:t>
        </w:r>
      </w:hyperlink>
      <w:bookmarkEnd w:id="8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20. </w:t>
      </w:r>
      <w:bookmarkStart w:id="85"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4">
        <w:r>
          <w:rPr>
            <w:rStyle w:val="Hyperlink"/>
          </w:rPr>
          <w:t xml:space="preserve">arxiv.org/abs/2411.16594</w:t>
        </w:r>
      </w:hyperlink>
      <w:bookmarkEnd w:id="8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21. </w:t>
      </w:r>
      <w:bookmarkStart w:id="87"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6">
        <w:r>
          <w:rPr>
            <w:rStyle w:val="Hyperlink"/>
          </w:rPr>
          <w:t xml:space="preserve">arxiv.org/abs/2308.07201</w:t>
        </w:r>
      </w:hyperlink>
      <w:bookmarkEnd w:id="8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22. </w:t>
      </w:r>
      <w:bookmarkStart w:id="89"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8">
        <w:r>
          <w:rPr>
            <w:rStyle w:val="Hyperlink"/>
          </w:rPr>
          <w:t xml:space="preserve">arxiv.org/abs/2406.19314</w:t>
        </w:r>
      </w:hyperlink>
      <w:bookmarkEnd w:id="8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23. </w:t>
      </w:r>
      <w:bookmarkStart w:id="91"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90">
        <w:r>
          <w:rPr>
            <w:rStyle w:val="Hyperlink"/>
          </w:rPr>
          <w:t xml:space="preserve">arxiv.org/abs/2403.07974</w:t>
        </w:r>
      </w:hyperlink>
      <w:bookmarkEnd w:id="9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24. </w:t>
      </w:r>
      <w:bookmarkStart w:id="93"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2">
        <w:r>
          <w:rPr>
            <w:rStyle w:val="Hyperlink"/>
          </w:rPr>
          <w:t xml:space="preserve">arxiv.org/abs/2504.03846</w:t>
        </w:r>
      </w:hyperlink>
      <w:bookmarkEnd w:id="9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25. </w:t>
      </w:r>
      <w:bookmarkStart w:id="95"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4">
        <w:r>
          <w:rPr>
            <w:rStyle w:val="Hyperlink"/>
          </w:rPr>
          <w:t xml:space="preserve">arxiv.org/abs/2408.08808</w:t>
        </w:r>
      </w:hyperlink>
      <w:bookmarkEnd w:id="9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26. </w:t>
      </w:r>
      <w:bookmarkStart w:id="97" w:name="r26"/>
      <w:r>
        <w:t xml:space="preserve">Li, Y., et al. (2025).</w:t>
      </w:r>
      <w:r>
        <w:t xml:space="preserve"> </w:t>
      </w:r>
      <w:r>
        <w:rPr>
          <w:i/>
          <w:iCs/>
        </w:rPr>
        <w:t xml:space="preserve">Leveraging LLMs as Meta-Judges: A Multi-Agent Framework.</w:t>
      </w:r>
      <w:r>
        <w:t xml:space="preserve"> </w:t>
      </w:r>
      <w:hyperlink r:id="rId96">
        <w:r>
          <w:rPr>
            <w:rStyle w:val="Hyperlink"/>
          </w:rPr>
          <w:t xml:space="preserve">arxiv.org/abs/2504.17087</w:t>
        </w:r>
      </w:hyperlink>
      <w:bookmarkEnd w:id="9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27. </w:t>
      </w:r>
      <w:bookmarkStart w:id="99"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8">
        <w:r>
          <w:rPr>
            <w:rStyle w:val="Hyperlink"/>
          </w:rPr>
          <w:t xml:space="preserve">arxiv.org/abs/2602.16610</w:t>
        </w:r>
      </w:hyperlink>
      <w:bookmarkEnd w:id="9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28. </w:t>
      </w:r>
      <w:bookmarkStart w:id="101"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100">
        <w:r>
          <w:rPr>
            <w:rStyle w:val="Hyperlink"/>
          </w:rPr>
          <w:t xml:space="preserve">arxiv.org/abs/2603.00039</w:t>
        </w:r>
      </w:hyperlink>
      <w:bookmarkEnd w:id="10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29. </w:t>
      </w:r>
      <w:bookmarkStart w:id="103"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2">
        <w:r>
          <w:rPr>
            <w:rStyle w:val="Hyperlink"/>
          </w:rPr>
          <w:t xml:space="preserve">arxiv.org/abs/2601.21817</w:t>
        </w:r>
      </w:hyperlink>
      <w:bookmarkEnd w:id="10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30. </w:t>
      </w:r>
      <w:bookmarkStart w:id="105"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4">
        <w:r>
          <w:rPr>
            <w:rStyle w:val="Hyperlink"/>
          </w:rPr>
          <w:t xml:space="preserve">arxiv.org/abs/2502.14678</w:t>
        </w:r>
      </w:hyperlink>
      <w:bookmarkEnd w:id="10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31. </w:t>
      </w:r>
      <w:bookmarkStart w:id="107"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6">
        <w:r>
          <w:rPr>
            <w:rStyle w:val="Hyperlink"/>
          </w:rPr>
          <w:t xml:space="preserve">arxiv.org/abs/2501.12789</w:t>
        </w:r>
      </w:hyperlink>
      <w:bookmarkEnd w:id="10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32. </w:t>
      </w:r>
      <w:bookmarkStart w:id="109"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8">
        <w:r>
          <w:rPr>
            <w:rStyle w:val="Hyperlink"/>
          </w:rPr>
          <w:t xml:space="preserve">arxiv.org/abs/2502.17521</w:t>
        </w:r>
      </w:hyperlink>
      <w:bookmarkEnd w:id="10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33. </w:t>
      </w:r>
      <w:bookmarkStart w:id="111"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10">
        <w:r>
          <w:rPr>
            <w:rStyle w:val="Hyperlink"/>
          </w:rPr>
          <w:t xml:space="preserve">doi.org/10.2307/2346806</w:t>
        </w:r>
      </w:hyperlink>
      <w:bookmarkEnd w:id="111"/>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34. </w:t>
      </w:r>
      <w:bookmarkStart w:id="113" w:name="r34"/>
      <w:r>
        <w:t xml:space="preserve">Wang, Y., Yu, Z., Zeng, Z., et al. (2024).</w:t>
      </w:r>
      <w:r>
        <w:t xml:space="preserve"> </w:t>
      </w:r>
      <w:r>
        <w:rPr>
          <w:i/>
          <w:iCs/>
        </w:rPr>
        <w:t xml:space="preserve">PandaLM: An Automatic Evaluation Benchmark for LLM</w:t>
      </w:r>
      <w:r>
        <w:rPr>
          <w:i/>
          <w:iCs/>
        </w:rPr>
        <w:t xml:space="preserve"> </w:t>
      </w:r>
      <w:r>
        <w:rPr>
          <w:i/>
          <w:iCs/>
        </w:rPr>
        <w:t xml:space="preserve">Instruction Tuning Optimization.</w:t>
      </w:r>
      <w:r>
        <w:t xml:space="preserve"> </w:t>
      </w:r>
      <w:r>
        <w:t xml:space="preserve">ICLR.</w:t>
      </w:r>
      <w:r>
        <w:t xml:space="preserve"> </w:t>
      </w:r>
      <w:hyperlink r:id="rId112">
        <w:r>
          <w:rPr>
            <w:rStyle w:val="Hyperlink"/>
          </w:rPr>
          <w:t xml:space="preserve">arxiv.org/abs/2306.05087</w:t>
        </w:r>
      </w:hyperlink>
      <w:bookmarkEnd w:id="113"/>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35. </w:t>
      </w:r>
      <w:bookmarkStart w:id="115" w:name="r35"/>
      <w:r>
        <w:t xml:space="preserve">Zhu, L., Wang, X., Wang, X. (2023).</w:t>
      </w:r>
      <w:r>
        <w:t xml:space="preserve"> </w:t>
      </w:r>
      <w:r>
        <w:rPr>
          <w:i/>
          <w:iCs/>
        </w:rPr>
        <w:t xml:space="preserve">JudgeLM: Fine-tuned Large Language Models are Scalable</w:t>
      </w:r>
      <w:r>
        <w:rPr>
          <w:i/>
          <w:iCs/>
        </w:rPr>
        <w:t xml:space="preserve"> </w:t>
      </w:r>
      <w:r>
        <w:rPr>
          <w:i/>
          <w:iCs/>
        </w:rPr>
        <w:t xml:space="preserve">Judges.</w:t>
      </w:r>
      <w:r>
        <w:t xml:space="preserve"> </w:t>
      </w:r>
      <w:hyperlink r:id="rId114">
        <w:r>
          <w:rPr>
            <w:rStyle w:val="Hyperlink"/>
          </w:rPr>
          <w:t xml:space="preserve">arxiv.org/abs/2310.17631</w:t>
        </w:r>
      </w:hyperlink>
      <w:bookmarkEnd w:id="115"/>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36. </w:t>
      </w:r>
      <w:bookmarkStart w:id="117" w:name="r36"/>
      <w:r>
        <w:t xml:space="preserve">Shi, W., Ajith, A., Xia, M., et al. (2024).</w:t>
      </w:r>
      <w:r>
        <w:t xml:space="preserve"> </w:t>
      </w:r>
      <w:r>
        <w:rPr>
          <w:i/>
          <w:iCs/>
        </w:rPr>
        <w:t xml:space="preserve">Detecting Pretraining Data from Large Language</w:t>
      </w:r>
      <w:r>
        <w:rPr>
          <w:i/>
          <w:iCs/>
        </w:rPr>
        <w:t xml:space="preserve"> </w:t>
      </w:r>
      <w:r>
        <w:rPr>
          <w:i/>
          <w:iCs/>
        </w:rPr>
        <w:t xml:space="preserve">Models.</w:t>
      </w:r>
      <w:r>
        <w:t xml:space="preserve"> </w:t>
      </w:r>
      <w:r>
        <w:t xml:space="preserve">ICLR.</w:t>
      </w:r>
      <w:r>
        <w:t xml:space="preserve"> </w:t>
      </w:r>
      <w:hyperlink r:id="rId116">
        <w:r>
          <w:rPr>
            <w:rStyle w:val="Hyperlink"/>
          </w:rPr>
          <w:t xml:space="preserve">arxiv.org/abs/2310.16789</w:t>
        </w:r>
      </w:hyperlink>
      <w:bookmarkEnd w:id="117"/>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37. </w:t>
      </w:r>
      <w:bookmarkStart w:id="119" w:name="r37"/>
      <w:r>
        <w:t xml:space="preserve">Fabbri, A. R., Kryściński, W., McCann, B., Xiong, C., Socher, R., Radev, D. (2021).</w:t>
      </w:r>
      <w:r>
        <w:t xml:space="preserve"> </w:t>
      </w:r>
      <w:r>
        <w:rPr>
          <w:i/>
          <w:iCs/>
        </w:rPr>
        <w:t xml:space="preserve">SummEval: Re-evaluating Summarization Evaluation.</w:t>
      </w:r>
      <w:r>
        <w:t xml:space="preserve"> </w:t>
      </w:r>
      <w:r>
        <w:t xml:space="preserve">Transactions of the Association for Computational</w:t>
      </w:r>
      <w:r>
        <w:t xml:space="preserve"> </w:t>
      </w:r>
      <w:r>
        <w:t xml:space="preserve">Linguistics, 9, 391–409.</w:t>
      </w:r>
      <w:r>
        <w:t xml:space="preserve"> </w:t>
      </w:r>
      <w:hyperlink r:id="rId118">
        <w:r>
          <w:rPr>
            <w:rStyle w:val="Hyperlink"/>
          </w:rPr>
          <w:t xml:space="preserve">arxiv.org/abs/2007.12626</w:t>
        </w:r>
      </w:hyperlink>
      <w:bookmarkEnd w:id="119"/>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38. </w:t>
      </w:r>
      <w:bookmarkStart w:id="121" w:name="r38"/>
      <w:r>
        <w:t xml:space="preserve">Zeng, Z., Yu, J., Gao, T., Meng, Y., Goyal, T., Chen, D. (2024).</w:t>
      </w:r>
      <w:r>
        <w:t xml:space="preserve"> </w:t>
      </w:r>
      <w:r>
        <w:rPr>
          <w:i/>
          <w:iCs/>
        </w:rPr>
        <w:t xml:space="preserve">Evaluating Large Language</w:t>
      </w:r>
      <w:r>
        <w:rPr>
          <w:i/>
          <w:iCs/>
        </w:rPr>
        <w:t xml:space="preserve"> </w:t>
      </w:r>
      <w:r>
        <w:rPr>
          <w:i/>
          <w:iCs/>
        </w:rPr>
        <w:t xml:space="preserve">Models at Evaluating Instruction Following.</w:t>
      </w:r>
      <w:r>
        <w:t xml:space="preserve"> </w:t>
      </w:r>
      <w:r>
        <w:t xml:space="preserve">ICLR.</w:t>
      </w:r>
      <w:r>
        <w:t xml:space="preserve"> </w:t>
      </w:r>
      <w:hyperlink r:id="rId120">
        <w:r>
          <w:rPr>
            <w:rStyle w:val="Hyperlink"/>
          </w:rPr>
          <w:t xml:space="preserve">arxiv.org/abs/2310.07641</w:t>
        </w:r>
      </w:hyperlink>
      <w:bookmarkEnd w:id="121"/>
    </w:p>
    <w:bookmarkEnd w:id="122"/>
    <w:bookmarkStart w:id="123"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23"/>
    <w:bookmarkStart w:id="127"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2766974" cy="2411178"/>
            <wp:effectExtent b="0" l="0" r="0" t="0"/>
            <wp:docPr descr="Heatmap of pairwise semantic similarity between auto-generated rubric criteria" title="" id="125" name="Picture"/>
            <a:graphic>
              <a:graphicData uri="http://schemas.openxmlformats.org/drawingml/2006/picture">
                <pic:pic>
                  <pic:nvPicPr>
                    <pic:cNvPr descr="figures/f5_rubric_heatmap.png" id="126" name="Picture"/>
                    <pic:cNvPicPr>
                      <a:picLocks noChangeArrowheads="1" noChangeAspect="1"/>
                    </pic:cNvPicPr>
                  </pic:nvPicPr>
                  <pic:blipFill>
                    <a:blip r:embed="rId124"/>
                    <a:stretch>
                      <a:fillRect/>
                    </a:stretch>
                  </pic:blipFill>
                  <pic:spPr bwMode="auto">
                    <a:xfrm>
                      <a:off x="0" y="0"/>
                      <a:ext cx="2766974" cy="241117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27"/>
    <w:bookmarkStart w:id="128"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5.6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6).</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5"/>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Drug–drug interaction reasoning</w:t>
            </w:r>
            <w:r>
              <w:rPr>
                <w:rFonts w:ascii="Times New Roman" w:hAnsi="Times New Roman"/>
                <w:sz w:val="19"/>
              </w:rPr>
              <w:br/>
            </w:r>
            <w:r>
              <w:rPr>
                <w:rFonts w:ascii="Times New Roman" w:hAnsi="Times New Roman"/>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severity {contraindicated, major, moderate, minor}; mechanism {pharmacokinetic, pharmacodynamic};</w:t>
            </w:r>
            <w:r>
              <w:rPr>
                <w:rFonts w:ascii="Times New Roman" w:hAnsi="Times New Roman"/>
                <w:sz w:val="19"/>
              </w:rPr>
              <w:t xml:space="preserve"> </w:t>
            </w:r>
            <w:r>
              <w:rPr>
                <w:rFonts w:ascii="Times New Roman" w:hAnsi="Times New Roman"/>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Clinical reasoning</w:t>
            </w:r>
            <w:r>
              <w:rPr>
                <w:rFonts w:ascii="Times New Roman" w:hAnsi="Times New Roman"/>
                <w:sz w:val="19"/>
              </w:rPr>
              <w:br/>
            </w:r>
            <w:r>
              <w:rPr>
                <w:rFonts w:ascii="Times New Roman" w:hAnsi="Times New Roman"/>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Legal analysis</w:t>
            </w:r>
            <w:r>
              <w:rPr>
                <w:rFonts w:ascii="Times New Roman" w:hAnsi="Times New Roman"/>
                <w:sz w:val="19"/>
              </w:rPr>
              <w:br/>
            </w:r>
            <w:r>
              <w:rPr>
                <w:rFonts w:ascii="Times New Roman" w:hAnsi="Times New Roman"/>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legal_accuracy, reasoning_quality, completeness, clarity</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6"/>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6.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8"/>
    <w:sectPr w:rsidR="00FC693F" w:rsidRPr="0006063C" w:rsidSect="00034616">
      <w:headerReference w:type="default" r:id="rId37"/>
      <w:type w:val="continuous"/>
      <w:pgSz w:h="16838" w:w="11906"/>
      <w:pgMar w:bottom="1417" w:footer="720" w:gutter="0" w:header="720" w:left="1417" w:right="1417" w:top="1417"/>
      <w:lnNumType w:countBy="1" w:restart="continuous" w:distance="284"/>
      <w:cols w:num="2" w:space="340"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4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60" w:before="0" w:line="252" w:lineRule="auto"/>
      <w:ind w:left="403" w:hanging="403"/>
      <w:jc w:val="left"/>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24" Type="http://schemas.openxmlformats.org/officeDocument/2006/relationships/image" Target="media/rId124.png"/><Relationship Id="rId118" Type="http://schemas.openxmlformats.org/officeDocument/2006/relationships/hyperlink" Target="https://arxiv.org/abs/2007.12626" TargetMode="External"/><Relationship Id="rId72" Type="http://schemas.openxmlformats.org/officeDocument/2006/relationships/hyperlink" Target="https://arxiv.org/abs/2104.14337" TargetMode="External"/><Relationship Id="rId48" Type="http://schemas.openxmlformats.org/officeDocument/2006/relationships/hyperlink" Target="https://arxiv.org/abs/2303.16634" TargetMode="External"/><Relationship Id="rId112" Type="http://schemas.openxmlformats.org/officeDocument/2006/relationships/hyperlink" Target="https://arxiv.org/abs/2306.05087" TargetMode="External"/><Relationship Id="rId46" Type="http://schemas.openxmlformats.org/officeDocument/2006/relationships/hyperlink" Target="https://arxiv.org/abs/2306.05685" TargetMode="External"/><Relationship Id="rId86" Type="http://schemas.openxmlformats.org/officeDocument/2006/relationships/hyperlink" Target="https://arxiv.org/abs/2308.07201" TargetMode="External"/><Relationship Id="rId120" Type="http://schemas.openxmlformats.org/officeDocument/2006/relationships/hyperlink" Target="https://arxiv.org/abs/2310.07641" TargetMode="External"/><Relationship Id="rId116" Type="http://schemas.openxmlformats.org/officeDocument/2006/relationships/hyperlink" Target="https://arxiv.org/abs/2310.16789" TargetMode="External"/><Relationship Id="rId114" Type="http://schemas.openxmlformats.org/officeDocument/2006/relationships/hyperlink" Target="https://arxiv.org/abs/2310.17631" TargetMode="External"/><Relationship Id="rId90" Type="http://schemas.openxmlformats.org/officeDocument/2006/relationships/hyperlink" Target="https://arxiv.org/abs/2403.07974" TargetMode="External"/><Relationship Id="rId60" Type="http://schemas.openxmlformats.org/officeDocument/2006/relationships/hyperlink" Target="https://arxiv.org/abs/2404.04475" TargetMode="External"/><Relationship Id="rId54" Type="http://schemas.openxmlformats.org/officeDocument/2006/relationships/hyperlink" Target="https://arxiv.org/abs/2404.18796" TargetMode="External"/><Relationship Id="rId68" Type="http://schemas.openxmlformats.org/officeDocument/2006/relationships/hyperlink" Target="https://arxiv.org/abs/2405.00332" TargetMode="External"/><Relationship Id="rId50" Type="http://schemas.openxmlformats.org/officeDocument/2006/relationships/hyperlink" Target="https://arxiv.org/abs/2405.01535" TargetMode="External"/><Relationship Id="rId58" Type="http://schemas.openxmlformats.org/officeDocument/2006/relationships/hyperlink" Target="https://arxiv.org/abs/2406.05761" TargetMode="External"/><Relationship Id="rId88" Type="http://schemas.openxmlformats.org/officeDocument/2006/relationships/hyperlink" Target="https://arxiv.org/abs/2406.19314" TargetMode="External"/><Relationship Id="rId62" Type="http://schemas.openxmlformats.org/officeDocument/2006/relationships/hyperlink" Target="https://arxiv.org/abs/2407.08351" TargetMode="External"/><Relationship Id="rId52" Type="http://schemas.openxmlformats.org/officeDocument/2006/relationships/hyperlink" Target="https://arxiv.org/abs/2407.10817" TargetMode="External"/><Relationship Id="rId94" Type="http://schemas.openxmlformats.org/officeDocument/2006/relationships/hyperlink" Target="https://arxiv.org/abs/2408.08808" TargetMode="External"/><Relationship Id="rId78" Type="http://schemas.openxmlformats.org/officeDocument/2006/relationships/hyperlink" Target="https://arxiv.org/abs/2410.02736" TargetMode="External"/><Relationship Id="rId56" Type="http://schemas.openxmlformats.org/officeDocument/2006/relationships/hyperlink" Target="https://arxiv.org/abs/2410.12784" TargetMode="External"/><Relationship Id="rId80" Type="http://schemas.openxmlformats.org/officeDocument/2006/relationships/hyperlink" Target="https://arxiv.org/abs/2410.21819" TargetMode="External"/><Relationship Id="rId64" Type="http://schemas.openxmlformats.org/officeDocument/2006/relationships/hyperlink" Target="https://arxiv.org/abs/2410.22584" TargetMode="External"/><Relationship Id="rId82" Type="http://schemas.openxmlformats.org/officeDocument/2006/relationships/hyperlink" Target="https://arxiv.org/abs/2411.15594" TargetMode="External"/><Relationship Id="rId84" Type="http://schemas.openxmlformats.org/officeDocument/2006/relationships/hyperlink" Target="https://arxiv.org/abs/2411.16594" TargetMode="External"/><Relationship Id="rId106" Type="http://schemas.openxmlformats.org/officeDocument/2006/relationships/hyperlink" Target="https://arxiv.org/abs/2501.12789" TargetMode="External"/><Relationship Id="rId74" Type="http://schemas.openxmlformats.org/officeDocument/2006/relationships/hyperlink" Target="https://arxiv.org/abs/2502.01534" TargetMode="External"/><Relationship Id="rId70" Type="http://schemas.openxmlformats.org/officeDocument/2006/relationships/hyperlink" Target="https://arxiv.org/abs/2502.14425" TargetMode="External"/><Relationship Id="rId104" Type="http://schemas.openxmlformats.org/officeDocument/2006/relationships/hyperlink" Target="https://arxiv.org/abs/2502.14678" TargetMode="External"/><Relationship Id="rId108" Type="http://schemas.openxmlformats.org/officeDocument/2006/relationships/hyperlink" Target="https://arxiv.org/abs/2502.17521" TargetMode="External"/><Relationship Id="rId66" Type="http://schemas.openxmlformats.org/officeDocument/2006/relationships/hyperlink" Target="https://arxiv.org/abs/2504.01833" TargetMode="External"/><Relationship Id="rId92" Type="http://schemas.openxmlformats.org/officeDocument/2006/relationships/hyperlink" Target="https://arxiv.org/abs/2504.03846" TargetMode="External"/><Relationship Id="rId96" Type="http://schemas.openxmlformats.org/officeDocument/2006/relationships/hyperlink" Target="https://arxiv.org/abs/2504.17087" TargetMode="External"/><Relationship Id="rId76" Type="http://schemas.openxmlformats.org/officeDocument/2006/relationships/hyperlink" Target="https://arxiv.org/abs/2508.06709" TargetMode="External"/><Relationship Id="rId102" Type="http://schemas.openxmlformats.org/officeDocument/2006/relationships/hyperlink" Target="https://arxiv.org/abs/2601.21817" TargetMode="External"/><Relationship Id="rId98" Type="http://schemas.openxmlformats.org/officeDocument/2006/relationships/hyperlink" Target="https://arxiv.org/abs/2602.16610" TargetMode="External"/><Relationship Id="rId100" Type="http://schemas.openxmlformats.org/officeDocument/2006/relationships/hyperlink" Target="https://arxiv.org/abs/2603.00039" TargetMode="External"/><Relationship Id="rId110" Type="http://schemas.openxmlformats.org/officeDocument/2006/relationships/hyperlink" Target="https://doi.org/10.2307/2346806" TargetMode="Externa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6" Type="http://schemas.openxmlformats.org/officeDocument/2006/relationships/header" Target="header6.xml"/><Relationship Id="rId17" Type="http://schemas.openxmlformats.org/officeDocument/2006/relationships/header" Target="header7.xml"/><Relationship Id="rId18" Type="http://schemas.openxmlformats.org/officeDocument/2006/relationships/header" Target="header8.xml"/><Relationship Id="rId19" Type="http://schemas.openxmlformats.org/officeDocument/2006/relationships/header" Target="head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header" Target="header13.xml"/><Relationship Id="rId25" Type="http://schemas.openxmlformats.org/officeDocument/2006/relationships/header" Target="header14.xml"/><Relationship Id="rId26" Type="http://schemas.openxmlformats.org/officeDocument/2006/relationships/header" Target="header15.xml"/><Relationship Id="rId27" Type="http://schemas.openxmlformats.org/officeDocument/2006/relationships/header" Target="header16.xml"/><Relationship Id="rId29" Type="http://schemas.openxmlformats.org/officeDocument/2006/relationships/header" Target="header17.xml"/><Relationship Id="rId30" Type="http://schemas.openxmlformats.org/officeDocument/2006/relationships/header" Target="header18.xml"/><Relationship Id="rId31" Type="http://schemas.openxmlformats.org/officeDocument/2006/relationships/header" Target="header19.xml"/><Relationship Id="rId33" Type="http://schemas.openxmlformats.org/officeDocument/2006/relationships/header" Target="header20.xml"/><Relationship Id="rId34" Type="http://schemas.openxmlformats.org/officeDocument/2006/relationships/header" Target="header21.xml"/><Relationship Id="rId35" Type="http://schemas.openxmlformats.org/officeDocument/2006/relationships/header" Target="header22.xml"/><Relationship Id="rId36" Type="http://schemas.openxmlformats.org/officeDocument/2006/relationships/header" Target="header23.xml"/><Relationship Id="rId37" Type="http://schemas.openxmlformats.org/officeDocument/2006/relationships/header" Target="header24.xml"/></Relationships>
</file>

<file path=word/_rels/footnotes.xml.rels><?xml version='1.0' encoding='UTF-8' standalone='yes'?>
<Relationships xmlns="http://schemas.openxmlformats.org/package/2006/relationships"><Relationship Id="rId118" Type="http://schemas.openxmlformats.org/officeDocument/2006/relationships/hyperlink" Target="https://arxiv.org/abs/2007.12626" TargetMode="External"/><Relationship Id="rId72" Type="http://schemas.openxmlformats.org/officeDocument/2006/relationships/hyperlink" Target="https://arxiv.org/abs/2104.14337" TargetMode="External"/><Relationship Id="rId48" Type="http://schemas.openxmlformats.org/officeDocument/2006/relationships/hyperlink" Target="https://arxiv.org/abs/2303.16634" TargetMode="External"/><Relationship Id="rId112" Type="http://schemas.openxmlformats.org/officeDocument/2006/relationships/hyperlink" Target="https://arxiv.org/abs/2306.05087" TargetMode="External"/><Relationship Id="rId46" Type="http://schemas.openxmlformats.org/officeDocument/2006/relationships/hyperlink" Target="https://arxiv.org/abs/2306.05685" TargetMode="External"/><Relationship Id="rId86" Type="http://schemas.openxmlformats.org/officeDocument/2006/relationships/hyperlink" Target="https://arxiv.org/abs/2308.07201" TargetMode="External"/><Relationship Id="rId120" Type="http://schemas.openxmlformats.org/officeDocument/2006/relationships/hyperlink" Target="https://arxiv.org/abs/2310.07641" TargetMode="External"/><Relationship Id="rId116" Type="http://schemas.openxmlformats.org/officeDocument/2006/relationships/hyperlink" Target="https://arxiv.org/abs/2310.16789" TargetMode="External"/><Relationship Id="rId114" Type="http://schemas.openxmlformats.org/officeDocument/2006/relationships/hyperlink" Target="https://arxiv.org/abs/2310.17631" TargetMode="External"/><Relationship Id="rId90" Type="http://schemas.openxmlformats.org/officeDocument/2006/relationships/hyperlink" Target="https://arxiv.org/abs/2403.07974" TargetMode="External"/><Relationship Id="rId60" Type="http://schemas.openxmlformats.org/officeDocument/2006/relationships/hyperlink" Target="https://arxiv.org/abs/2404.04475" TargetMode="External"/><Relationship Id="rId54" Type="http://schemas.openxmlformats.org/officeDocument/2006/relationships/hyperlink" Target="https://arxiv.org/abs/2404.18796" TargetMode="External"/><Relationship Id="rId68" Type="http://schemas.openxmlformats.org/officeDocument/2006/relationships/hyperlink" Target="https://arxiv.org/abs/2405.00332" TargetMode="External"/><Relationship Id="rId50" Type="http://schemas.openxmlformats.org/officeDocument/2006/relationships/hyperlink" Target="https://arxiv.org/abs/2405.01535" TargetMode="External"/><Relationship Id="rId58" Type="http://schemas.openxmlformats.org/officeDocument/2006/relationships/hyperlink" Target="https://arxiv.org/abs/2406.05761" TargetMode="External"/><Relationship Id="rId88" Type="http://schemas.openxmlformats.org/officeDocument/2006/relationships/hyperlink" Target="https://arxiv.org/abs/2406.19314" TargetMode="External"/><Relationship Id="rId62" Type="http://schemas.openxmlformats.org/officeDocument/2006/relationships/hyperlink" Target="https://arxiv.org/abs/2407.08351" TargetMode="External"/><Relationship Id="rId52" Type="http://schemas.openxmlformats.org/officeDocument/2006/relationships/hyperlink" Target="https://arxiv.org/abs/2407.10817" TargetMode="External"/><Relationship Id="rId94" Type="http://schemas.openxmlformats.org/officeDocument/2006/relationships/hyperlink" Target="https://arxiv.org/abs/2408.08808" TargetMode="External"/><Relationship Id="rId78" Type="http://schemas.openxmlformats.org/officeDocument/2006/relationships/hyperlink" Target="https://arxiv.org/abs/2410.02736" TargetMode="External"/><Relationship Id="rId56" Type="http://schemas.openxmlformats.org/officeDocument/2006/relationships/hyperlink" Target="https://arxiv.org/abs/2410.12784" TargetMode="External"/><Relationship Id="rId80" Type="http://schemas.openxmlformats.org/officeDocument/2006/relationships/hyperlink" Target="https://arxiv.org/abs/2410.21819" TargetMode="External"/><Relationship Id="rId64" Type="http://schemas.openxmlformats.org/officeDocument/2006/relationships/hyperlink" Target="https://arxiv.org/abs/2410.22584" TargetMode="External"/><Relationship Id="rId82" Type="http://schemas.openxmlformats.org/officeDocument/2006/relationships/hyperlink" Target="https://arxiv.org/abs/2411.15594" TargetMode="External"/><Relationship Id="rId84" Type="http://schemas.openxmlformats.org/officeDocument/2006/relationships/hyperlink" Target="https://arxiv.org/abs/2411.16594" TargetMode="External"/><Relationship Id="rId106" Type="http://schemas.openxmlformats.org/officeDocument/2006/relationships/hyperlink" Target="https://arxiv.org/abs/2501.12789" TargetMode="External"/><Relationship Id="rId74" Type="http://schemas.openxmlformats.org/officeDocument/2006/relationships/hyperlink" Target="https://arxiv.org/abs/2502.01534" TargetMode="External"/><Relationship Id="rId70" Type="http://schemas.openxmlformats.org/officeDocument/2006/relationships/hyperlink" Target="https://arxiv.org/abs/2502.14425" TargetMode="External"/><Relationship Id="rId104" Type="http://schemas.openxmlformats.org/officeDocument/2006/relationships/hyperlink" Target="https://arxiv.org/abs/2502.14678" TargetMode="External"/><Relationship Id="rId108" Type="http://schemas.openxmlformats.org/officeDocument/2006/relationships/hyperlink" Target="https://arxiv.org/abs/2502.17521" TargetMode="External"/><Relationship Id="rId66" Type="http://schemas.openxmlformats.org/officeDocument/2006/relationships/hyperlink" Target="https://arxiv.org/abs/2504.01833" TargetMode="External"/><Relationship Id="rId92" Type="http://schemas.openxmlformats.org/officeDocument/2006/relationships/hyperlink" Target="https://arxiv.org/abs/2504.03846" TargetMode="External"/><Relationship Id="rId96" Type="http://schemas.openxmlformats.org/officeDocument/2006/relationships/hyperlink" Target="https://arxiv.org/abs/2504.17087" TargetMode="External"/><Relationship Id="rId76" Type="http://schemas.openxmlformats.org/officeDocument/2006/relationships/hyperlink" Target="https://arxiv.org/abs/2508.06709" TargetMode="External"/><Relationship Id="rId102" Type="http://schemas.openxmlformats.org/officeDocument/2006/relationships/hyperlink" Target="https://arxiv.org/abs/2601.21817" TargetMode="External"/><Relationship Id="rId98" Type="http://schemas.openxmlformats.org/officeDocument/2006/relationships/hyperlink" Target="https://arxiv.org/abs/2602.16610" TargetMode="External"/><Relationship Id="rId100" Type="http://schemas.openxmlformats.org/officeDocument/2006/relationships/hyperlink" Target="https://arxiv.org/abs/2603.00039" TargetMode="External"/><Relationship Id="rId110"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2026-06-04T17:53:35Z</dcterms:created>
  <dcterms:modified xsi:type="dcterms:W3CDTF">2026-06-04T17:53:35Z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