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284"/>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CoEval applies this to a vendor-disjoint LLM panel where peer agreement down-weights and</w:t>
      </w:r>
      <w:r>
        <w:t xml:space="preserve"> </w:t>
      </w:r>
      <w:r>
        <w:t xml:space="preserve">diagnoses unreliable judges (Section 5.2). Recent label-free methods learn per-judge reliability jointly with the</w:t>
      </w:r>
      <w:r>
        <w:t xml:space="preserve"> </w:t>
      </w:r>
      <w:r>
        <w:t xml:space="preserve">ranking from pairwise comparisons (judge-aware Bradley–Terry [</w:t>
      </w:r>
      <w:hyperlink w:anchor="r27">
        <w:r>
          <w:rPr>
            <w:rStyle w:val="Hyperlink"/>
          </w:rPr>
          <w:t xml:space="preserve">27</w:t>
        </w:r>
      </w:hyperlink>
      <w:r>
        <w:t xml:space="preserve">], judge-aware ranking</w:t>
      </w:r>
      <w:r>
        <w:t xml:space="preserve"> </w:t>
      </w:r>
      <w:r>
        <w:t xml:space="preserve">[</w:t>
      </w:r>
      <w:hyperlink w:anchor="r29">
        <w:r>
          <w:rPr>
            <w:rStyle w:val="Hyperlink"/>
          </w:rPr>
          <w:t xml:space="preserve">29</w:t>
        </w:r>
      </w:hyperlink>
      <w:r>
        <w:t xml:space="preserve">]) or separate quality from shared confounders [</w:t>
      </w:r>
      <w:hyperlink w:anchor="r28">
        <w:r>
          <w:rPr>
            <w:rStyle w:val="Hyperlink"/>
          </w:rPr>
          <w:t xml:space="preserve">28</w:t>
        </w:r>
      </w:hyperlink>
      <w:r>
        <w:t xml:space="preserve">]. CoEval shares this goal,</w:t>
      </w:r>
      <w:r>
        <w:t xml:space="preserve"> </w:t>
      </w:r>
      <w:r>
        <w:t xml:space="preserve">but its contribution is the</w:t>
      </w:r>
      <w:r>
        <w:t xml:space="preserve"> </w:t>
      </w:r>
      <w:r>
        <w:rPr>
          <w:i/>
          <w:iCs/>
        </w:rPr>
        <w:t xml:space="preserve">integration</w:t>
      </w:r>
      <w:r>
        <w:t xml:space="preserve">: these methods score a fixed, externally-supplied item set as pairwise</w:t>
      </w:r>
      <w:r>
        <w:t xml:space="preserve"> </w:t>
      </w:r>
      <w:r>
        <w:t xml:space="preserve">comparisons from a single-vendor pool, whereas CoEval supplies the items (generated de novo, contamination-free) and</w:t>
      </w:r>
      <w:r>
        <w:t xml:space="preserve"> </w:t>
      </w:r>
      <w:r>
        <w:t xml:space="preserve">scores them as rubric-anchored absolute scores from a</w:t>
      </w:r>
      <w:r>
        <w:t xml:space="preserve"> </w:t>
      </w:r>
      <w:r>
        <w:rPr>
          <w:i/>
          <w:iCs/>
        </w:rPr>
        <w:t xml:space="preserve">vendor-disjoint</w:t>
      </w:r>
      <w:r>
        <w:t xml:space="preserve"> </w:t>
      </w:r>
      <w:r>
        <w:t xml:space="preserve">panel. Owning the whole loop surfaces the</w:t>
      </w:r>
      <w:r>
        <w:t xml:space="preserve"> </w:t>
      </w:r>
      <w:r>
        <w:rPr>
          <w:i/>
          <w:iCs/>
        </w:rPr>
        <w:t xml:space="preserve">judge-choice regret</w:t>
      </w:r>
      <w:r>
        <w:t xml:space="preserve"> </w:t>
      </w:r>
      <w:r>
        <w:t xml:space="preserve">of Section 5.2: a single judge can be anti-correlated with ground truth where the</w:t>
      </w:r>
      <w:r>
        <w:t xml:space="preserve"> </w:t>
      </w:r>
      <w:r>
        <w:t xml:space="preserve">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pStyle w:val="TableCaption"/>
        <w:spacing w:before="24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5"/>
          <w:type w:val="continuous"/>
          <w:pgSz w:h="16838" w:w="11906"/>
          <w:pgMar w:bottom="1417" w:footer="720" w:gutter="0" w:header="720" w:left="1417" w:right="1417" w:top="1417"/>
          <w:lnNumType w:countBy="1" w:restart="continuous" w:distance="284"/>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284"/>
          <w:cols w:num="1" w:space="340"/>
          <w:docGrid w:linePitch="360"/>
        </w:sectPr>
      </w:pPr>
    </w:p>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766974" cy="2411178"/>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2766974" cy="241117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4).</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4"/>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4.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8"/>
          <w:type w:val="continuous"/>
          <w:pgSz w:h="16838" w:w="11906"/>
          <w:pgMar w:bottom="1417" w:footer="720" w:gutter="0" w:header="720" w:left="1417" w:right="1417" w:top="1417"/>
          <w:lnNumType w:countBy="1" w:restart="continuous" w:distance="284"/>
          <w:cols w:num="1" w:space="340"/>
          <w:docGrid w:linePitch="360"/>
        </w:sectPr>
      </w:pPr>
    </w:p>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24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0"/>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2 and 4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1"/>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969000" cy="1928377"/>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5969000" cy="19283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24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bookmarkEnd w:id="125"/>
    <w:sectPr w:rsidR="00FC693F" w:rsidRPr="0006063C" w:rsidSect="00034616">
      <w:headerReference w:type="default" r:id="rId32"/>
      <w:type w:val="continuous"/>
      <w:pgSz w:h="16838" w:w="11906"/>
      <w:pgMar w:bottom="1417" w:footer="720" w:gutter="0" w:header="720" w:left="1417" w:right="1417" w:top="1417"/>
      <w:lnNumType w:countBy="1" w:restart="continuous" w:distance="284"/>
      <w:cols w:num="1" w:space="3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8" Type="http://schemas.openxmlformats.org/officeDocument/2006/relationships/header" Target="header17.xml"/><Relationship Id="rId29" Type="http://schemas.openxmlformats.org/officeDocument/2006/relationships/header" Target="header18.xml"/><Relationship Id="rId30" Type="http://schemas.openxmlformats.org/officeDocument/2006/relationships/header" Target="header19.xml"/><Relationship Id="rId31" Type="http://schemas.openxmlformats.org/officeDocument/2006/relationships/header" Target="header20.xml"/><Relationship Id="rId32" Type="http://schemas.openxmlformats.org/officeDocument/2006/relationships/header" Target="header21.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2026-06-04T18:36:30Z</dcterms:created>
  <dcterms:modified xsi:type="dcterms:W3CDTF">2026-06-04T18:36:30Z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