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draws on three lines of work, each motivated by one half of the practitioner's problem: evidence that public</w:t>
      </w:r>
      <w:r>
        <w:t xml:space="preserve"> </w:t>
      </w:r>
      <w:r>
        <w:t xml:space="preserve">benchmarks cannot be taken at face value (contamination and leakage), automated benchmark generation when no labeled</w:t>
      </w:r>
      <w:r>
        <w:t xml:space="preserve"> </w:t>
      </w:r>
      <w:r>
        <w:t xml:space="preserve">data exists, and LLM-as-judge scoring. CoEval unifies all three, contamination-free, label-free, domain-targeted</w:t>
      </w:r>
      <w:r>
        <w:t xml:space="preserve"> </w:t>
      </w:r>
      <w:r>
        <w:t xml:space="preserve">generation with a reliability-controlled cross-family judge ensemble, in a single framework for the no-data,</w:t>
      </w:r>
      <w:r>
        <w:t xml:space="preserve"> </w:t>
      </w:r>
      <w:r>
        <w:t xml:space="preserve">untrusted-benchmark regime; we detail each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which CoEval applies to a vendor-disjoint LLM panel (Section 5.2). Recent label-free</w:t>
      </w:r>
      <w:r>
        <w:t xml:space="preserve"> </w:t>
      </w:r>
      <w:r>
        <w:t xml:space="preserve">methods learn per-judge reliability jointly with the ranking from pairwise comparisons (judge-aware Bradley–Terry</w:t>
      </w:r>
      <w:r>
        <w:t xml:space="preserve"> </w:t>
      </w:r>
      <w:r>
        <w:t xml:space="preserve">[</w:t>
      </w:r>
      <w:hyperlink w:anchor="r27">
        <w:r>
          <w:rPr>
            <w:rStyle w:val="Hyperlink"/>
          </w:rPr>
          <w:t xml:space="preserve">27</w:t>
        </w:r>
      </w:hyperlink>
      <w:r>
        <w:t xml:space="preserve">], judge-aware ranking [</w:t>
      </w:r>
      <w:hyperlink w:anchor="r29">
        <w:r>
          <w:rPr>
            <w:rStyle w:val="Hyperlink"/>
          </w:rPr>
          <w:t xml:space="preserve">29</w:t>
        </w:r>
      </w:hyperlink>
      <w:r>
        <w:t xml:space="preserve">]) or separate quality from shared confounders</w:t>
      </w:r>
      <w:r>
        <w:t xml:space="preserve"> </w:t>
      </w:r>
      <w:r>
        <w:t xml:space="preserve">[</w:t>
      </w:r>
      <w:hyperlink w:anchor="r28">
        <w:r>
          <w:rPr>
            <w:rStyle w:val="Hyperlink"/>
          </w:rPr>
          <w:t xml:space="preserve">28</w:t>
        </w:r>
      </w:hyperlink>
      <w:r>
        <w:t xml:space="preserve">]; CoEval's contribution is their</w:t>
      </w:r>
      <w:r>
        <w:t xml:space="preserve"> </w:t>
      </w:r>
      <w:r>
        <w:rPr>
          <w:i/>
          <w:iCs/>
        </w:rPr>
        <w:t xml:space="preserve">integration</w:t>
      </w:r>
      <w:r>
        <w:t xml:space="preserve">, supplying the items themselves (de novo,</w:t>
      </w:r>
      <w:r>
        <w:t xml:space="preserve"> </w:t>
      </w:r>
      <w:r>
        <w:t xml:space="preserve">contamination-free) and scoring them as absolute rubric scores from a</w:t>
      </w:r>
      <w:r>
        <w:t xml:space="preserve"> </w:t>
      </w:r>
      <w:r>
        <w:rPr>
          <w:i/>
          <w:iCs/>
        </w:rPr>
        <w:t xml:space="preserve">vendor-disjoint</w:t>
      </w:r>
      <w:r>
        <w:t xml:space="preserve"> </w:t>
      </w:r>
      <w:r>
        <w:t xml:space="preserve">panel rather than</w:t>
      </w:r>
      <w:r>
        <w:t xml:space="preserve"> </w:t>
      </w:r>
      <w:r>
        <w:t xml:space="preserve">pairwise comparisons from a single-vendor pool, which surfaces the</w:t>
      </w:r>
      <w:r>
        <w:t xml:space="preserve"> </w:t>
      </w:r>
      <w:r>
        <w:rPr>
          <w:i/>
          <w:iCs/>
        </w:rPr>
        <w:t xml:space="preserve">judge-choice regret</w:t>
      </w:r>
      <w:r>
        <w:t xml:space="preserve"> </w:t>
      </w:r>
      <w:r>
        <w:t xml:space="preserve">of Section 5.2: a</w:t>
      </w:r>
      <w:r>
        <w:t xml:space="preserve"> </w:t>
      </w:r>
      <w:r>
        <w:t xml:space="preserve">single judge can be anti-correlated with ground truth where the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maximizes</w:t>
      </w:r>
      <w:r>
        <w:t xml:space="preserve"> </w:t>
      </w:r>
      <w:r>
        <w:rPr>
          <w:i/>
          <w:iCs/>
        </w:rPr>
        <w:t xml:space="preserve">vendor-family diversity</w:t>
      </w:r>
      <w:r>
        <w:t xml:space="preserve">, so family-correlated biases (self-preference, shared</w:t>
      </w:r>
      <w:r>
        <w:t xml:space="preserve"> </w:t>
      </w:r>
      <w:r>
        <w:t xml:space="preserve">idiosyncrasies) do not reinforce one another; when per-judge biases have mixed sign, as we observe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claim that</w:t>
      </w:r>
      <w:r>
        <w:t xml:space="preserve"> </w:t>
      </w:r>
      <w:r>
        <w:rPr>
          <w:i/>
          <w:iCs/>
        </w:rPr>
        <w:t xml:space="preserve">composition</w:t>
      </w:r>
      <w:r>
        <w:t xml:space="preserve">, not size, drives reliability: a large same-family panel amplifies a shared bias, a small</w:t>
      </w:r>
      <w:r>
        <w:t xml:space="preserve"> </w:t>
      </w:r>
      <w:r>
        <w:t xml:space="preserve">cross-family panel cancels it. The default aggregator is the unweighted mean, with composition enforced by judge</w:t>
      </w:r>
      <w:r>
        <w:t xml:space="preserve"> </w:t>
      </w:r>
      <w:r>
        <w:rPr>
          <w:i/>
          <w:iCs/>
        </w:rPr>
        <w:t xml:space="preserve">selection</w:t>
      </w:r>
      <w:r>
        <w:t xml:space="preserve"> </w:t>
      </w:r>
      <w:r>
        <w:t xml:space="preserve">(Section 5.2). CoEval also offers an</w:t>
      </w:r>
      <w:r>
        <w:t xml:space="preserve"> </w:t>
      </w:r>
      <w:r>
        <w:rPr>
          <w:i/>
          <w:iCs/>
        </w:rPr>
        <w:t xml:space="preserve">unsupervised reliability-weighted</w:t>
      </w:r>
      <w:r>
        <w:t xml:space="preserve"> </w:t>
      </w:r>
      <w:r>
        <w:t xml:space="preserve">aggregator</w:t>
      </w:r>
      <w:r>
        <w:t xml:space="preserve"> </w:t>
      </w:r>
      <w:r>
        <w:t xml:space="preserve">needing no ground truth (</w:t>
      </w:r>
      <m:oMath>
        <m:sSub>
          <m:e>
            <m:r>
              <m:t>w</m:t>
            </m:r>
          </m:e>
          <m:sub>
            <m:r>
              <m:t>j</m:t>
            </m:r>
          </m:sub>
        </m:sSub>
        <m:r>
          <m:rPr>
            <m:sty m:val="p"/>
          </m:rPr>
          <m:t>∝</m:t>
        </m:r>
        <m:sSub>
          <m:e>
            <m:acc>
              <m:accPr>
                <m:chr m:val="‾"/>
              </m:accPr>
              <m:e>
                <m:r>
                  <m:t>r</m:t>
                </m:r>
              </m:e>
            </m:acc>
          </m:e>
          <m:sub>
            <m:r>
              <m:t>j</m:t>
            </m:r>
          </m:sub>
        </m:sSub>
      </m:oMath>
      <w:r>
        <w:t xml:space="preserve">,</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down-weighting judges that disagree with the</w:t>
      </w:r>
      <w:r>
        <w:t xml:space="preserve"> </w:t>
      </w:r>
      <w:r>
        <w:t xml:space="preserve">panel, and a</w:t>
      </w:r>
      <w:r>
        <w:t xml:space="preserve"> </w:t>
      </w:r>
      <w:r>
        <w:rPr>
          <w:b/>
          <w:bCs/>
        </w:rPr>
        <w:t xml:space="preserve">doubly-robust ranking</w:t>
      </w:r>
      <w:r>
        <w:t xml:space="preserve"> </w:t>
      </w:r>
      <w:r>
        <w:t xml:space="preserve">that additionally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so the ranking leans on items that separate</w:t>
      </w:r>
      <w:r>
        <w:t xml:space="preserve"> </w:t>
      </w:r>
      <w:r>
        <w:t xml:space="preserve">models and judges that agree with the panel, both label-free (model score</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w:t>
      </w:r>
      <w:r>
        <w:t xml:space="preserve"> </w:t>
      </w:r>
      <w:r>
        <w:t xml:space="preserve">normalized; evaluated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24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common predicament: ranking models for a task or domain when no labeled data exists and public</w:t>
      </w:r>
      <w:r>
        <w:t xml:space="preserve"> </w:t>
      </w:r>
      <w:r>
        <w:t xml:space="preserve">benchmarks cannot be trusted. The results show it meets that need, its label-free scores reproduce the true ranking,</w:t>
      </w:r>
      <w:r>
        <w:t xml:space="preserve"> </w:t>
      </w:r>
      <w:r>
        <w:t xml:space="preserve">track ground truth, and agree with human judgments (Section 5.1), and its items are verifiably fresh. The key</w:t>
      </w:r>
      <w:r>
        <w:t xml:space="preserve"> </w:t>
      </w:r>
      <w:r>
        <w:t xml:space="preserve">enabler is itself a contribution: the reliability of an LLM-judge panel is governed by its</w:t>
      </w:r>
      <w:r>
        <w:t xml:space="preserve"> </w:t>
      </w:r>
      <w:r>
        <w:rPr>
          <w:i/>
          <w:iCs/>
        </w:rPr>
        <w:t xml:space="preserve">composition</w:t>
      </w:r>
      <w:r>
        <w:t xml:space="preserve">, not its</w:t>
      </w:r>
      <w:r>
        <w:t xml:space="preserve"> </w:t>
      </w:r>
      <w:r>
        <w:t xml:space="preserve">size. A cross-family panel cancels the mixed-sign biases (verbosity, self-preference) any individual judge carries,</w:t>
      </w:r>
      <w:r>
        <w:t xml:space="preserve"> </w:t>
      </w:r>
      <w:r>
        <w:t xml:space="preserve">where a same-family panel would amplify a shared one, and a modest diverse panel already recovers most of the</w:t>
      </w:r>
      <w:r>
        <w:t xml:space="preserve"> </w:t>
      </w:r>
      <w:r>
        <w:t xml:space="preserve">full-panel reliability, so practitioners should prioritize vendor diversity over more copies of similar judges.</w:t>
      </w:r>
    </w:p>
    <w:p>
      <w:pPr>
        <w:pStyle w:val="BodyText"/>
        <w:jc w:val="both"/>
        <w:keepNext w:val="0"/>
        <w:keepLines w:val="0"/>
        <w:widowControl w:val="1"/>
      </w:pPr>
      <w:r>
        <w:t xml:space="preserve">Coupling the panel to attribute-stratified generation makes CoEval more than a better judge: because items are</w:t>
      </w:r>
      <w:r>
        <w:t xml:space="preserve"> </w:t>
      </w:r>
      <w:r>
        <w:t xml:space="preserve">synthesized fresh on every run, it sidesteps contamination structurally rather than chasing leaked items, and targets</w:t>
      </w:r>
      <w:r>
        <w:t xml:space="preserve"> </w:t>
      </w:r>
      <w:r>
        <w:t xml:space="preserve">the deployment's own distribution rather than a generic average. The same role separation that secures</w:t>
      </w:r>
      <w:r>
        <w:t xml:space="preserve"> </w:t>
      </w:r>
      <w:r>
        <w:t xml:space="preserve">contamination-freeness also precludes same-family self-preference, one architectural choice closing two leakage</w:t>
      </w:r>
      <w:r>
        <w:t xml:space="preserve"> </w:t>
      </w:r>
      <w:r>
        <w:t xml:space="preserve">channels, and a single declarative configuration regenerates the benchmark, responses, and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18"/>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18"/>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18"/>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18"/>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18"/>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4).</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4.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2 and 4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24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125"/>
    <w:sectPr w:rsidR="00FC693F" w:rsidRPr="0006063C" w:rsidSect="00034616">
      <w:type w:val="continuous"/>
      <w:pgSz w:h="15840" w:w="12240"/>
      <w:pgMar w:bottom="1080" w:footer="720" w:gutter="0" w:header="720" w:left="1080" w:right="1080" w:top="1080"/>
      <w:cols w:num="1" w:space="28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2026-06-04T18:50:50Z</dcterms:created>
  <dcterms:modified xsi:type="dcterms:W3CDTF">2026-06-04T18:50:50Z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