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(Section 5.7),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w:t>
      </w:r>
      <w:r>
        <w:t xml:space="preserve">(Table 4).</w:t>
      </w:r>
    </w:p>
    <w:p>
      <w:pPr>
        <w:pStyle w:val="TableCaption"/>
        <w:spacing w:before="280" w:after="60" w:line="240" w:lineRule="auto"/>
        <w:jc w:val="center"/>
        <w:keepNext/>
        <w:keepLines/>
        <w:widowControl w:val="1"/>
      </w:pPr>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5.6)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Three boundary conditions delimit the validated regime. First, judge accuracy</w:t>
      </w:r>
      <w:r>
        <w:t xml:space="preserve"> </w:t>
      </w:r>
      <w:r>
        <w:t xml:space="preserve">is anchored to ground truth on objective exact-match QA, where labels exist (Section 5.1,</w:t>
      </w:r>
      <w:r>
        <w:t xml:space="preserve"> </w:t>
      </w:r>
      <m:oMath>
        <m:r>
          <m:t>ρ</m:t>
        </m:r>
        <m:r>
          <m:rPr>
            <m:sty m:val="p"/>
          </m:rPr>
          <m:t>=</m:t>
        </m:r>
        <m:r>
          <m:t>0.86</m:t>
        </m:r>
      </m:oMath>
      <w:r>
        <w:t xml:space="preserve">); on the</w:t>
      </w:r>
      <w:r>
        <w:t xml:space="preserve"> </w:t>
      </w:r>
      <w:r>
        <w:t xml:space="preserve">subjective custom domains (Section 5.6) the panel's trustworthiness rests on that accuracy anchor together with its</w:t>
      </w:r>
      <w:r>
        <w:t xml:space="preserve"> </w:t>
      </w:r>
      <w:r>
        <w:t xml:space="preserve">measured bias and reliability properties (Sections 5.2–5.4), and rankings are reported as cross-family</w:t>
      </w:r>
      <w:r>
        <w:t xml:space="preserve"> </w:t>
      </w:r>
      <w:r>
        <w:t xml:space="preserve">intervals rather than against a held-out gold ranking, which by assumption does not exist. Human ratings are the natural</w:t>
      </w:r>
      <w:r>
        <w:t xml:space="preserve"> </w:t>
      </w:r>
      <w:r>
        <w:t xml:space="preserve">convergent check on these domains and are the primary direction for future validation. Second, the study spans up to</w:t>
      </w:r>
      <w:r>
        <w:t xml:space="preserve"> </w:t>
      </w:r>
      <w:r>
        <w:t xml:space="preserve">thirteen candidate models across four exact-match QA tasks, three custom verticals, a four-domain divergence study</w:t>
      </w:r>
      <w:r>
        <w:t xml:space="preserve"> </w:t>
      </w:r>
      <w:r>
        <w:t xml:space="preserve">(Section 5.7), and a thirteen-model rank-recovery check (Section 5.2); wider model pools and further domains</w:t>
      </w:r>
      <w:r>
        <w:t xml:space="preserve"> </w:t>
      </w:r>
      <w:r>
        <w:t xml:space="preserve">would extend the evidence. Third, the contamination guarantee is structural (fresh per-run synthesis), validated by zero</w:t>
      </w:r>
      <w:r>
        <w:t xml:space="preserve"> </w:t>
      </w:r>
      <w:r>
        <w:t xml:space="preserve">verbatim overlap and a controlled memorization study (Section 5.5); verbatim n-gram overlap and membership-inference</w:t>
      </w:r>
      <w:r>
        <w:t xml:space="preserve"> </w:t>
      </w:r>
      <w:r>
        <w:t xml:space="preserve">probes such as Min-K% [</w:t>
      </w:r>
      <w:hyperlink w:anchor="r36">
        <w:r>
          <w:rPr>
            <w:rStyle w:val="Hyperlink"/>
          </w:rPr>
          <w:t xml:space="preserve">36</w:t>
        </w:r>
      </w:hyperlink>
      <w:r>
        <w:t xml:space="preserve">] answer complementary questions, the former whether an item is reproduced,</w:t>
      </w:r>
      <w:r>
        <w:t xml:space="preserve"> </w:t>
      </w:r>
      <w:r>
        <w:t xml:space="preserve">the latter whether it was seen during pretraining.</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115"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8"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7">
        <w:r>
          <w:rPr>
            <w:rStyle w:val="Hyperlink"/>
          </w:rPr>
          <w:t xml:space="preserve">doi.org/10.2307/2346806</w:t>
        </w:r>
      </w:hyperlink>
      <w:bookmarkEnd w:id="108"/>
    </w:p>
    <w:p>
      <w:pPr>
        <w:pStyle w:val="ReferenceEntry"/>
        <w:numPr>
          <w:ilvl w:val="0"/>
          <w:numId w:val="1002"/>
        </w:numPr>
        <w:spacing w:after="60"/>
        <w:ind w:left="360" w:hanging="259"/>
        <w:jc w:val="left"/>
        <w:keepNext w:val="0"/>
        <w:keepLines w:val="0"/>
        <w:widowControl w:val="1"/>
      </w:pPr>
      <w:r>
        <w:rPr>
          <w:rFonts w:ascii="Georgia" w:hAnsi="Georgia"/>
          <w:sz w:val="20"/>
        </w:rPr>
        <w:t xml:space="preserve">34. </w:t>
      </w:r>
      <w:bookmarkStart w:id="110"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9">
        <w:r>
          <w:rPr>
            <w:rStyle w:val="Hyperlink"/>
          </w:rPr>
          <w:t xml:space="preserve">arxiv.org/abs/2306.05087</w:t>
        </w:r>
      </w:hyperlink>
      <w:bookmarkEnd w:id="110"/>
    </w:p>
    <w:p>
      <w:pPr>
        <w:pStyle w:val="ReferenceEntry"/>
        <w:numPr>
          <w:ilvl w:val="0"/>
          <w:numId w:val="1002"/>
        </w:numPr>
        <w:spacing w:after="60"/>
        <w:ind w:left="360" w:hanging="259"/>
        <w:jc w:val="left"/>
        <w:keepNext w:val="0"/>
        <w:keepLines w:val="0"/>
        <w:widowControl w:val="1"/>
      </w:pPr>
      <w:r>
        <w:rPr>
          <w:rFonts w:ascii="Georgia" w:hAnsi="Georgia"/>
          <w:sz w:val="20"/>
        </w:rPr>
        <w:t xml:space="preserve">35. </w:t>
      </w:r>
      <w:bookmarkStart w:id="112"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11">
        <w:r>
          <w:rPr>
            <w:rStyle w:val="Hyperlink"/>
          </w:rPr>
          <w:t xml:space="preserve">arxiv.org/abs/2310.17631</w:t>
        </w:r>
      </w:hyperlink>
      <w:bookmarkEnd w:id="112"/>
    </w:p>
    <w:p>
      <w:pPr>
        <w:pStyle w:val="ReferenceEntry"/>
        <w:numPr>
          <w:ilvl w:val="0"/>
          <w:numId w:val="1002"/>
        </w:numPr>
        <w:spacing w:after="60"/>
        <w:ind w:left="360" w:hanging="259"/>
        <w:jc w:val="left"/>
        <w:keepNext w:val="0"/>
        <w:keepLines w:val="0"/>
        <w:widowControl w:val="1"/>
      </w:pPr>
      <w:r>
        <w:rPr>
          <w:rFonts w:ascii="Georgia" w:hAnsi="Georgia"/>
          <w:sz w:val="20"/>
        </w:rPr>
        <w:t xml:space="preserve">36. </w:t>
      </w:r>
      <w:bookmarkStart w:id="114"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3">
        <w:r>
          <w:rPr>
            <w:rStyle w:val="Hyperlink"/>
          </w:rPr>
          <w:t xml:space="preserve">arxiv.org/abs/2310.16789</w:t>
        </w:r>
      </w:hyperlink>
      <w:bookmarkEnd w:id="114"/>
    </w:p>
    <w:bookmarkEnd w:id="115"/>
    <w:bookmarkStart w:id="116"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6"/>
    <w:bookmarkStart w:id="120"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8" name="Picture"/>
            <a:graphic>
              <a:graphicData uri="http://schemas.openxmlformats.org/drawingml/2006/picture">
                <pic:pic>
                  <pic:nvPicPr>
                    <pic:cNvPr descr="figures/f5_rubric_heatmap.png" id="119" name="Picture"/>
                    <pic:cNvPicPr>
                      <a:picLocks noChangeArrowheads="1" noChangeAspect="1"/>
                    </pic:cNvPicPr>
                  </pic:nvPicPr>
                  <pic:blipFill>
                    <a:blip r:embed="rId117"/>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0"/>
    <w:bookmarkStart w:id="121"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pStyle w:val="TableCaption"/>
        <w:spacing w:before="28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7" Type="http://schemas.openxmlformats.org/officeDocument/2006/relationships/image" Target="media/rId117.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109" Type="http://schemas.openxmlformats.org/officeDocument/2006/relationships/hyperlink" Target="https://arxiv.org/abs/2306.05087"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113" Type="http://schemas.openxmlformats.org/officeDocument/2006/relationships/hyperlink" Target="https://arxiv.org/abs/2310.16789" TargetMode="External"/><Relationship Id="rId111" Type="http://schemas.openxmlformats.org/officeDocument/2006/relationships/hyperlink" Target="https://arxiv.org/abs/2310.1763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109" Type="http://schemas.openxmlformats.org/officeDocument/2006/relationships/hyperlink" Target="https://arxiv.org/abs/2306.05087"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113" Type="http://schemas.openxmlformats.org/officeDocument/2006/relationships/hyperlink" Target="https://arxiv.org/abs/2310.16789" TargetMode="External"/><Relationship Id="rId111" Type="http://schemas.openxmlformats.org/officeDocument/2006/relationships/hyperlink" Target="https://arxiv.org/abs/2310.1763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2026-06-04T16:10:16Z</dcterms:created>
  <dcterms:modified xsi:type="dcterms:W3CDTF">2026-06-04T16:10:16Z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