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160"/>
        <w:jc w:val="center"/>
        <w:keepNext w:val="0"/>
        <w:keepLines/>
        <w:widowControl w:val="1"/>
      </w:pPr>
      <w:r>
        <w:rPr>
          <w:rFonts w:ascii="Georgia" w:hAnsi="Georgia"/>
          <w:b w:val="0"/>
          <w:i/>
          <w:sz w:val="20"/>
        </w:rPr>
        <w:t xml:space="preserve">Alexander Apartsin</w:t>
      </w:r>
      <w:r>
        <w:rPr>
          <w:rFonts w:ascii="Georgia" w:hAnsi="Georgia"/>
          <w:b w:val="0"/>
          <w:i/>
          <w:sz w:val="20"/>
          <w:vertAlign w:val="superscript"/>
        </w:rPr>
        <w:t xml:space="preserve">1</w:t>
      </w:r>
      <w:r>
        <w:rPr>
          <w:rFonts w:ascii="Georgia" w:hAnsi="Georgia"/>
          <w:b w:val="0"/>
          <w:i/>
          <w:sz w:val="20"/>
        </w:rPr>
        <w:t xml:space="preserve">,</w:t>
      </w:r>
      <w:r>
        <w:rPr>
          <w:rFonts w:ascii="Georgia" w:hAnsi="Georgia"/>
          <w:b w:val="0"/>
          <w:i/>
          <w:sz w:val="20"/>
        </w:rPr>
        <w:t xml:space="preserve"> </w:t>
      </w:r>
      <w:r>
        <w:rPr>
          <w:rFonts w:ascii="Georgia" w:hAnsi="Georgia"/>
          <w:b w:val="0"/>
          <w:i/>
          <w:sz w:val="20"/>
        </w:rPr>
        <w:t xml:space="preserve">Yehudit Aperstein</w:t>
      </w:r>
      <w:r>
        <w:rPr>
          <w:rFonts w:ascii="Georgia" w:hAnsi="Georgia"/>
          <w:b w:val="0"/>
          <w:i/>
          <w:sz w:val="20"/>
          <w:vertAlign w:val="superscript"/>
        </w:rPr>
        <w:t xml:space="preserve">2</w:t>
      </w:r>
    </w:p>
    <w:p>
      <w:pPr>
        <w:pStyle w:val="Subtitle"/>
        <w:spacing w:before="0" w:after="160"/>
        <w:jc w:val="center"/>
        <w:keepNext w:val="0"/>
        <w:keepLines/>
        <w:widowControl w:val="1"/>
      </w:pPr>
      <w:r>
        <w:rPr>
          <w:rFonts w:ascii="Georgia" w:hAnsi="Georgia"/>
          <w:b w:val="0"/>
          <w:i/>
          <w:sz w:val="20"/>
          <w:vertAlign w:val="superscript"/>
        </w:rPr>
        <w:t xml:space="preserve">1</w:t>
      </w:r>
      <w:r>
        <w:rPr>
          <w:rFonts w:ascii="Georgia" w:hAnsi="Georgia"/>
          <w:b w:val="0"/>
          <w:i/>
          <w:sz w:val="20"/>
        </w:rPr>
        <w:t xml:space="preserve">Holon Institute of Technology, Israel  ·  </w:t>
      </w:r>
      <w:r>
        <w:rPr>
          <w:rFonts w:ascii="Georgia" w:hAnsi="Georgia"/>
          <w:b w:val="0"/>
          <w:i/>
          <w:sz w:val="20"/>
          <w:vertAlign w:val="superscript"/>
        </w:rPr>
        <w:t xml:space="preserve">2</w:t>
      </w:r>
      <w:r>
        <w:rPr>
          <w:rFonts w:ascii="Georgia" w:hAnsi="Georgia"/>
          <w:b w:val="0"/>
          <w:i/>
          <w:sz w:val="20"/>
        </w:rPr>
        <w:t xml:space="preserve">Afeka Tel Aviv Academic College of Engineering, Israel</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Selecting a pretrained language model, or evaluating a fine-tuned one, for a specific application is a high-value</w:t>
      </w:r>
      <w:r>
        <w:t xml:space="preserve"> </w:t>
      </w:r>
      <w:r>
        <w:t xml:space="preserve">decision, yet the public benchmarks used to make it are poorly suited: a generic benchmark need not reflect a</w:t>
      </w:r>
      <w:r>
        <w:t xml:space="preserve"> </w:t>
      </w:r>
      <w:r>
        <w:t xml:space="preserve">particular</w:t>
      </w:r>
      <w:r>
        <w:t xml:space="preserve"> </w:t>
      </w:r>
      <w:r>
        <w:rPr>
          <w:i/>
          <w:iCs/>
        </w:rPr>
        <w:t xml:space="preserve">sub-domain or sub-task</w:t>
      </w:r>
      <w:r>
        <w:t xml:space="preserve">, and its scores are suspect when its items have</w:t>
      </w:r>
      <w:r>
        <w:t xml:space="preserve"> </w:t>
      </w:r>
      <w:r>
        <w:rPr>
          <w:i/>
          <w:iCs/>
        </w:rPr>
        <w:t xml:space="preserve">leaked into</w:t>
      </w:r>
      <w:r>
        <w:rPr>
          <w:i/>
          <w:iCs/>
        </w:rPr>
        <w:t xml:space="preserve"> </w:t>
      </w:r>
      <w:r>
        <w:rPr>
          <w:i/>
          <w:iCs/>
        </w:rPr>
        <w:t xml:space="preserve">pretraining</w:t>
      </w:r>
      <w:r>
        <w:t xml:space="preserve"> </w:t>
      </w:r>
      <w:r>
        <w:t xml:space="preserve">and are recalled rather than solved. We present</w:t>
      </w:r>
      <w:r>
        <w:t xml:space="preserve"> </w:t>
      </w:r>
      <w:r>
        <w:rPr>
          <w:b/>
          <w:bCs/>
        </w:rPr>
        <w:t xml:space="preserve">CoEval</w:t>
      </w:r>
      <w:r>
        <w:t xml:space="preserve">, an open framework that</w:t>
      </w:r>
      <w:r>
        <w:t xml:space="preserve"> </w:t>
      </w:r>
      <w:r>
        <w:t xml:space="preserve">supplies a trustworthy, task-specific signal through</w:t>
      </w:r>
      <w:r>
        <w:t xml:space="preserve"> </w:t>
      </w:r>
      <w:r>
        <w:rPr>
          <w:i/>
          <w:iCs/>
        </w:rPr>
        <w:t xml:space="preserve">ensemble self-evaluation</w:t>
      </w:r>
      <w:r>
        <w:t xml:space="preserve">: from a task or domain</w:t>
      </w:r>
      <w:r>
        <w:t xml:space="preserve"> </w:t>
      </w:r>
      <w:r>
        <w:t xml:space="preserve">description, a 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 fresh, contamination-free benchmark, answer it, and score one another, with no human</w:t>
      </w:r>
      <w:r>
        <w:t xml:space="preserve"> </w:t>
      </w:r>
      <w:r>
        <w:t xml:space="preserve">labels or raters. Because every model also answers as a student, the responses are the data that weight each question</w:t>
      </w:r>
      <w:r>
        <w:t xml:space="preserve"> </w:t>
      </w:r>
      <w:r>
        <w:t xml:space="preserve">by its discriminative power and each judge by its consensus with the panel. Where ground truth exists, CoEval</w:t>
      </w:r>
      <w:r>
        <w:t xml:space="preserve"> </w:t>
      </w:r>
      <w:r>
        <w:t xml:space="preserve">recovers the true ranking and tracks objective correctness at</w:t>
      </w:r>
      <w:r>
        <w:t xml:space="preserve"> </w:t>
      </w:r>
      <m:oMath>
        <m:r>
          <m:t>ρ</m:t>
        </m:r>
        <m:r>
          <m:rPr>
            <m:sty m:val="p"/>
          </m:rPr>
          <m:t>=</m:t>
        </m:r>
        <m:r>
          <m:t>0.86</m:t>
        </m:r>
      </m:oMath>
      <w:r>
        <w:t xml:space="preserve">, and the weighting recovers the gold</w:t>
      </w:r>
      <w:r>
        <w:t xml:space="preserve"> </w:t>
      </w:r>
      <w:r>
        <w:t xml:space="preserve">ranking of thirteen models at Spearman</w:t>
      </w:r>
      <w:r>
        <w:t xml:space="preserve"> </w:t>
      </w:r>
      <m:oMath>
        <m:r>
          <m:t>0.95</m:t>
        </m:r>
      </m:oMath>
      <w:r>
        <w:t xml:space="preserve">; the panel also agrees with human judgments on standard</w:t>
      </w:r>
      <w:r>
        <w:t xml:space="preserve"> </w:t>
      </w:r>
      <w:r>
        <w:t xml:space="preserve">meta-evaluation benchmarks (SummEval, LLMBar), matching the best single judge without a label-oracle to select it. Reliability comes from panel</w:t>
      </w:r>
      <w:r>
        <w:t xml:space="preserve"> </w:t>
      </w:r>
      <w:r>
        <w:rPr>
          <w:i/>
          <w:iCs/>
        </w:rPr>
        <w:t xml:space="preserve">composition</w:t>
      </w:r>
      <w:r>
        <w:t xml:space="preserve">, not size: this</w:t>
      </w:r>
      <w:r>
        <w:t xml:space="preserve"> </w:t>
      </w:r>
      <w:r>
        <w:t xml:space="preserve">label-free weighting zeroes out broken judges and down-weights saturated questions, so neither distorts the ranking.</w:t>
      </w:r>
      <w:r>
        <w:t xml:space="preserve"> </w:t>
      </w:r>
      <w:r>
        <w:t xml:space="preserve">Generated items show</w:t>
      </w:r>
      <w:r>
        <w:t xml:space="preserve"> </w:t>
      </w:r>
      <w:r>
        <w:rPr>
          <w:i/>
          <w:iCs/>
        </w:rPr>
        <w:t xml:space="preserve">zero</w:t>
      </w:r>
      <w:r>
        <w:t xml:space="preserve"> </w:t>
      </w:r>
      <w:r>
        <w:t xml:space="preserve">verbatim overlap with five public benchmarks, the panel cancels verbosity bias and</w:t>
      </w:r>
      <w:r>
        <w:t xml:space="preserve"> </w:t>
      </w:r>
      <w:r>
        <w:t xml:space="preserve">precludes same-family self-preference, and rankings are</w:t>
      </w:r>
      <w:r>
        <w:t xml:space="preserve"> </w:t>
      </w:r>
      <w:r>
        <w:rPr>
          <w:i/>
          <w:iCs/>
        </w:rPr>
        <w:t xml:space="preserve">domain-specific</w:t>
      </w:r>
      <w:r>
        <w:t xml:space="preserve">: three different models top four</w:t>
      </w:r>
      <w:r>
        <w:t xml:space="preserve"> </w:t>
      </w:r>
      <w:r>
        <w:t xml:space="preserve">de-novo domains, so a generic leaderboard misdirects most practitioners. The same pipeline reruns on each model</w:t>
      </w:r>
      <w:r>
        <w:t xml:space="preserve"> </w:t>
      </w:r>
      <w:r>
        <w:t xml:space="preserve">release, giving any team a contamination-free leaderboard for its application.</w:t>
      </w: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selecting a pretrained language model, or evaluating a fine-tuned one, for a specific application</w:t>
      </w:r>
      <w:r>
        <w:t xml:space="preserve"> </w:t>
      </w:r>
      <w:r>
        <w:t xml:space="preserve">(summarizing clinical notes, answering over an internal knowledge base, triaging support tickets) faces a deceptively</w:t>
      </w:r>
      <w:r>
        <w:t xml:space="preserve"> </w:t>
      </w:r>
      <w:r>
        <w:t xml:space="preserve">simple question:</w:t>
      </w:r>
      <w:r>
        <w:t xml:space="preserve"> </w:t>
      </w:r>
      <w:r>
        <w:rPr>
          <w:i/>
          <w:iCs/>
        </w:rPr>
        <w:t xml:space="preserve">which model is best for my use case?</w:t>
      </w:r>
      <w:r>
        <w:t xml:space="preserve"> </w:t>
      </w:r>
      <w:r>
        <w:t xml:space="preserve">Answering it well needs an evaluation set that reflects</w:t>
      </w:r>
      <w:r>
        <w:t xml:space="preserve"> </w:t>
      </w:r>
      <w:r>
        <w:t xml:space="preserve">that use case, and the static, human-curated benchmarks that dominate LLM evaluation make this hard in three ways. They</w:t>
      </w:r>
      <w:r>
        <w:t xml:space="preserve"> </w:t>
      </w:r>
      <w:r>
        <w:t xml:space="preserve">are</w:t>
      </w:r>
      <w:r>
        <w:t xml:space="preserve"> </w:t>
      </w:r>
      <w:r>
        <w:rPr>
          <w:i/>
          <w:iCs/>
        </w:rPr>
        <w:t xml:space="preserve">non-extensible</w:t>
      </w:r>
      <w:r>
        <w:t xml:space="preserve"> </w:t>
      </w:r>
      <w:r>
        <w:t xml:space="preserve">(covering a new domain or difficulty band needs fresh, slow annotation, and for a</w:t>
      </w:r>
      <w:r>
        <w:t xml:space="preserve"> </w:t>
      </w:r>
      <w:r>
        <w:t xml:space="preserve">proprietary domain the data may not exist at all);</w:t>
      </w:r>
      <w:r>
        <w:t xml:space="preserve"> </w:t>
      </w:r>
      <w:r>
        <w:rPr>
          <w:i/>
          <w:iCs/>
        </w:rPr>
        <w:t xml:space="preserve">contamination-prone</w:t>
      </w:r>
      <w:r>
        <w:t xml:space="preserve"> </w:t>
      </w:r>
      <w:r>
        <w:t xml:space="preserve">(public items leak into pretraining</w:t>
      </w:r>
      <w:r>
        <w:t xml:space="preserve"> </w:t>
      </w:r>
      <w:r>
        <w:t xml:space="preserve">corpora, so a 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 and</w:t>
      </w:r>
      <w:r>
        <w:t xml:space="preserve"> </w:t>
      </w:r>
      <w:r>
        <w:rPr>
          <w:i/>
          <w:iCs/>
        </w:rPr>
        <w:t xml:space="preserve">generic</w:t>
      </w:r>
      <w:r>
        <w:t xml:space="preserve"> </w:t>
      </w:r>
      <w:r>
        <w:t xml:space="preserve">(an average-case distribution rarely matches the inputs, scoring criteria,</w:t>
      </w:r>
      <w:r>
        <w:t xml:space="preserve"> </w:t>
      </w:r>
      <w:r>
        <w:t xml:space="preserve">or edge cases of a particular system). When a practitioner has neither task-specific labeled data</w:t>
      </w:r>
      <w:r>
        <w:t xml:space="preserve"> </w:t>
      </w:r>
      <w:r>
        <w:rPr>
          <w:i/>
          <w:iCs/>
        </w:rPr>
        <w:t xml:space="preserve">nor</w:t>
      </w:r>
      <w:r>
        <w:t xml:space="preserve"> </w:t>
      </w:r>
      <w:r>
        <w:t xml:space="preserve">a</w:t>
      </w:r>
      <w:r>
        <w:t xml:space="preserve"> </w:t>
      </w:r>
      <w:r>
        <w:t xml:space="preserve">benchmark they can trust, they are stuck.</w:t>
      </w:r>
      <w:r>
        <w:t xml:space="preserve"> </w:t>
      </w:r>
      <w:r>
        <w:rPr>
          <w:b/>
          <w:bCs/>
        </w:rPr>
        <w:t xml:space="preserve">CoEval</w:t>
      </w:r>
      <w:r>
        <w:t xml:space="preserve"> </w:t>
      </w:r>
      <w:r>
        <w:t xml:space="preserve">is built for exactly this situation: it generates a</w:t>
      </w:r>
      <w:r>
        <w:t xml:space="preserve"> </w:t>
      </w:r>
      <w:r>
        <w:t xml:space="preserve">fresh, domain-targeted evaluation from a task description and ranks candidate models on it, with no labels and no</w:t>
      </w:r>
      <w:r>
        <w:t xml:space="preserve"> </w:t>
      </w:r>
      <w:r>
        <w:t xml:space="preserve">contaminated items.</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 scoring,</w:t>
      </w:r>
      <w:r>
        <w:t xml:space="preserve"> </w:t>
      </w:r>
      <w:r>
        <w:t xml:space="preserve">grading free-form responses against a rubric at a fraction of human cost, but a single judge is not a neutral</w:t>
      </w:r>
      <w:r>
        <w:t xml:space="preserve"> </w:t>
      </w:r>
      <w:r>
        <w:t xml:space="preserve">instrument: judges exhibit positional,</w:t>
      </w:r>
      <w:r>
        <w:t xml:space="preserve"> </w:t>
      </w:r>
      <w:r>
        <w:rPr>
          <w:i/>
          <w:iCs/>
        </w:rPr>
        <w:t xml:space="preserve">verbosity</w:t>
      </w:r>
      <w:r>
        <w:t xml:space="preserve"> </w:t>
      </w:r>
      <w:r>
        <w:t xml:space="preserve">[</w:t>
      </w:r>
      <w:hyperlink w:anchor="r8">
        <w:r>
          <w:rPr>
            <w:rStyle w:val="Hyperlink"/>
          </w:rPr>
          <w:t xml:space="preserve">8</w:t>
        </w:r>
      </w:hyperlink>
      <w:r>
        <w:t xml:space="preserve">], and</w:t>
      </w:r>
      <w:r>
        <w:t xml:space="preserve"> </w:t>
      </w:r>
      <w:r>
        <w:rPr>
          <w:i/>
          <w:iCs/>
        </w:rPr>
        <w:t xml:space="preserve">self-preference</w:t>
      </w:r>
      <w:r>
        <w:t xml:space="preserve"> </w:t>
      </w:r>
      <w:r>
        <w:t xml:space="preserve">biases,</w:t>
      </w:r>
      <w:r>
        <w:t xml:space="preserve"> </w:t>
      </w:r>
      <w:r>
        <w:t xml:space="preserve">and a measurement built on one biased instrument inherits its distortions.</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for</w:t>
      </w:r>
      <w:r>
        <w:t xml:space="preserve"> </w:t>
      </w:r>
      <w:r>
        <w:rPr>
          <w:i/>
          <w:iCs/>
        </w:rPr>
        <w:t xml:space="preserve">ensemble self-evaluation</w:t>
      </w:r>
      <w:r>
        <w:t xml:space="preserve">: a</w:t>
      </w:r>
      <w:r>
        <w:t xml:space="preserve"> </w:t>
      </w:r>
      <w:r>
        <w:t xml:space="preserve">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w:t>
      </w:r>
      <w:r>
        <w:t xml:space="preserve"> </w:t>
      </w:r>
      <w:r>
        <w:t xml:space="preserve">fresh, contamination-free benchmark, answer it, and score one another. Because every model also answers as a student,</w:t>
      </w:r>
      <w:r>
        <w:t xml:space="preserve"> </w:t>
      </w:r>
      <w:r>
        <w:t xml:space="preserve">the responses provide the data that weight each question by its discriminative power and each judge by its consensus</w:t>
      </w:r>
      <w:r>
        <w:t xml:space="preserve"> </w:t>
      </w:r>
      <w:r>
        <w:t xml:space="preserve">with the panel. CoEval contributes:</w:t>
      </w:r>
    </w:p>
    <w:p>
      <w:pPr>
        <w:pStyle w:val="Compact"/>
        <w:numPr>
          <w:ilvl w:val="0"/>
          <w:numId w:val="1001"/>
        </w:numPr>
        <w:ind w:left="360" w:hanging="259"/>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ind w:left="360" w:hanging="259"/>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ind w:left="360" w:hanging="259"/>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ind w:left="360" w:hanging="259"/>
        <w:jc w:val="both"/>
        <w:keepNext w:val="0"/>
        <w:keepLines w:val="0"/>
        <w:widowControl w:val="1"/>
      </w:pPr>
      <w:r>
        <w:rPr>
          <w:b/>
          <w:bCs/>
        </w:rPr>
        <w:t xml:space="preserve">(4) A reusable, open framework for per-domain ranking.</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re-runs on every model release, giving a team a renewable, application-specific</w:t>
      </w:r>
      <w:r>
        <w:t xml:space="preserve"> </w:t>
      </w:r>
      <w:r>
        <w:t xml:space="preserve">benchmark. Per-domain ranking carries real signal: across four de-novo domains three different models take first</w:t>
      </w:r>
      <w:r>
        <w:t xml:space="preserve"> </w:t>
      </w:r>
      <w:r>
        <w:t xml:space="preserve">place (Appendix D), so CoEval directs each practitioner to the best model for their own use case where a</w:t>
      </w:r>
      <w:r>
        <w:t xml:space="preserve"> </w:t>
      </w:r>
      <w:r>
        <w:t xml:space="preserve">single generic leaderboard would not.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doubly-robust aggregator recovers the true ranking of thirteen models at</w:t>
      </w:r>
      <w:r>
        <w:t xml:space="preserve"> </w:t>
      </w:r>
      <w:r>
        <w:t xml:space="preserve">Spearman 0.95).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unifies all three: contamination-free, label-free, domain-targeted generation with a</w:t>
      </w:r>
      <w:r>
        <w:t xml:space="preserve"> </w:t>
      </w:r>
      <w:r>
        <w:t xml:space="preserve">reliability-controlled cross-family judge ensemble, in a single framework for the no-data, untrusted-benchmark regime.</w:t>
      </w:r>
      <w:r>
        <w:t xml:space="preserve"> </w:t>
      </w:r>
      <w:r>
        <w:t xml:space="preserve">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PandaLM [</w:t>
      </w:r>
      <w:hyperlink w:anchor="r34">
        <w:r>
          <w:rPr>
            <w:rStyle w:val="Hyperlink"/>
          </w:rPr>
          <w:t xml:space="preserve">34</w:t>
        </w:r>
      </w:hyperlink>
      <w:r>
        <w:t xml:space="preserve">], and JudgeLM [</w:t>
      </w:r>
      <w:hyperlink w:anchor="r35">
        <w:r>
          <w:rPr>
            <w:rStyle w:val="Hyperlink"/>
          </w:rPr>
          <w:t xml:space="preserve">35</w:t>
        </w:r>
      </w:hyperlink>
      <w:r>
        <w:t xml:space="preserve">] train dedicated</w:t>
      </w:r>
      <w:r>
        <w:t xml:space="preserve"> </w:t>
      </w:r>
      <w:r>
        <w:t xml:space="preserve">open evaluators.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The idea that a rater's reliability can be inferred from inter-rater agreement, with no ground truth, dates back to</w:t>
      </w:r>
      <w:r>
        <w:t xml:space="preserve"> </w:t>
      </w:r>
      <w:r>
        <w:rPr>
          <w:i/>
          <w:iCs/>
        </w:rPr>
        <w:t xml:space="preserve">Dawid and Skene</w:t>
      </w:r>
      <w:r>
        <w:t xml:space="preserve"> </w:t>
      </w:r>
      <w:r>
        <w:t xml:space="preserve">[</w:t>
      </w:r>
      <w:hyperlink w:anchor="r33">
        <w:r>
          <w:rPr>
            <w:rStyle w:val="Hyperlink"/>
          </w:rPr>
          <w:t xml:space="preserve">33</w:t>
        </w:r>
      </w:hyperlink>
      <w:r>
        <w:t xml:space="preserve">], whose EM algorithm estimates latent labels and per-rater error rates</w:t>
      </w:r>
      <w:r>
        <w:t xml:space="preserve"> </w:t>
      </w:r>
      <w:r>
        <w:t xml:space="preserve">jointly; CoEval applies the same principle to a vendor-disjoint LLM panel, where peer agreement both down-weights and</w:t>
      </w:r>
      <w:r>
        <w:t xml:space="preserve"> </w:t>
      </w:r>
      <w:r>
        <w:t xml:space="preserve">diagnoses unreliable judges (Section 5.2).</w:t>
      </w:r>
      <w:r>
        <w:t xml:space="preserve"> </w:t>
      </w: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Automated generators such as AutoBencher [</w:t>
      </w:r>
      <w:hyperlink w:anchor="r9">
        <w:r>
          <w:rPr>
            <w:rStyle w:val="Hyperlink"/>
          </w:rPr>
          <w:t xml:space="preserve">9</w:t>
        </w:r>
      </w:hyperlink>
      <w:r>
        <w:t xml:space="preserve">], BenchAgents [</w:t>
      </w:r>
      <w:hyperlink w:anchor="r10">
        <w:r>
          <w:rPr>
            <w:rStyle w:val="Hyperlink"/>
          </w:rPr>
          <w:t xml:space="preserve">10</w:t>
        </w:r>
      </w:hyperlink>
      <w:r>
        <w:t xml:space="preserve">], and YourBench</w:t>
      </w:r>
      <w:r>
        <w:t xml:space="preserve"> </w:t>
      </w:r>
      <w:r>
        <w:t xml:space="preserve">[</w:t>
      </w:r>
      <w:hyperlink w:anchor="r11">
        <w:r>
          <w:rPr>
            <w:rStyle w:val="Hyperlink"/>
          </w:rPr>
          <w:t xml:space="preserve">11</w:t>
        </w:r>
      </w:hyperlink>
      <w:r>
        <w:t xml:space="preserve">] construct evaluation items without labels, but score with a single judge and no role</w:t>
      </w:r>
      <w:r>
        <w:t xml:space="preserve"> </w:t>
      </w:r>
      <w:r>
        <w:t xml:space="preserve">separation. CoEval adds a cross-family multi-judge layer, explicit teacher/student/judge roles,</w:t>
      </w:r>
      <w:r>
        <w:t xml:space="preserve"> </w:t>
      </w:r>
      <w:r>
        <w:t xml:space="preserve">attribute-</w:t>
      </w:r>
      <w:r>
        <w:rPr>
          <w:i/>
          <w:iCs/>
        </w:rPr>
        <w:t xml:space="preserve">stratified</w:t>
      </w:r>
      <w:r>
        <w:t xml:space="preserve"> </w:t>
      </w:r>
      <w:r>
        <w:t xml:space="preserve">coverage (a per-stratum item floor over declared attribute combinations), and continuous</w:t>
      </w:r>
      <w:r>
        <w:t xml:space="preserve"> </w:t>
      </w:r>
      <w:r>
        <w:t xml:space="preserve">inter-judge agreement monitoring. The contamination motivation is sharpened by GSM1k [</w:t>
      </w:r>
      <w:hyperlink w:anchor="r12">
        <w:r>
          <w:rPr>
            <w:rStyle w:val="Hyperlink"/>
          </w:rPr>
          <w:t xml:space="preserve">12</w:t>
        </w:r>
      </w:hyperlink>
      <w:r>
        <w:t xml:space="preserve">] and recent</w:t>
      </w:r>
      <w:r>
        <w:t xml:space="preserve"> </w:t>
      </w:r>
      <w:r>
        <w:t xml:space="preserve">contamination surveys [</w:t>
      </w:r>
      <w:hyperlink w:anchor="r13">
        <w:r>
          <w:rPr>
            <w:rStyle w:val="Hyperlink"/>
          </w:rPr>
          <w:t xml:space="preserve">13</w:t>
        </w:r>
      </w:hyperlink>
      <w:r>
        <w:t xml:space="preserve">]. Live benchmarks (LiveBench [</w:t>
      </w:r>
      <w:hyperlink w:anchor="r22">
        <w:r>
          <w:rPr>
            <w:rStyle w:val="Hyperlink"/>
          </w:rPr>
          <w:t xml:space="preserve">22</w:t>
        </w:r>
      </w:hyperlink>
      <w:r>
        <w:t xml:space="preserve">], LiveCodeBench</w:t>
      </w:r>
      <w:r>
        <w:t xml:space="preserve"> </w:t>
      </w:r>
      <w:r>
        <w:t xml:space="preserve">[</w:t>
      </w:r>
      <w:hyperlink w:anchor="r23">
        <w:r>
          <w:rPr>
            <w:rStyle w:val="Hyperlink"/>
          </w:rPr>
          <w:t xml:space="preserve">23</w:t>
        </w:r>
      </w:hyperlink>
      <w:r>
        <w:t xml:space="preserve">]) limit leakage by continuously releasing fresh, time-windowed items, but rely on</w:t>
      </w:r>
      <w:r>
        <w:t xml:space="preserve"> </w:t>
      </w:r>
      <w:r>
        <w:t xml:space="preserve">human-curated questions with objective answers and avoid LLM judges; CoEval extends contamination resistance to</w:t>
      </w:r>
      <w:r>
        <w:t xml:space="preserve"> </w:t>
      </w:r>
      <w:r>
        <w:rPr>
          <w:i/>
          <w:iCs/>
        </w:rPr>
        <w:t xml:space="preserve">open-ended, judge-scored</w:t>
      </w:r>
      <w:r>
        <w:t xml:space="preserve"> </w:t>
      </w:r>
      <w:r>
        <w:t xml:space="preserve">tasks through fresh attribute-controlled generation. Closest to our synthesis step,</w:t>
      </w:r>
      <w:r>
        <w:t xml:space="preserve"> </w:t>
      </w:r>
      <w:r>
        <w:t xml:space="preserve">CHASE [</w:t>
      </w:r>
      <w:hyperlink w:anchor="r30">
        <w:r>
          <w:rPr>
            <w:rStyle w:val="Hyperlink"/>
          </w:rPr>
          <w:t xml:space="preserve">30</w:t>
        </w:r>
      </w:hyperlink>
      <w:r>
        <w:t xml:space="preserve">] composes problems bottom-up from verifiable sub-tasks and DataMorgana</w:t>
      </w:r>
      <w:r>
        <w:t xml:space="preserve"> </w:t>
      </w:r>
      <w:r>
        <w:t xml:space="preserve">[</w:t>
      </w:r>
      <w:hyperlink w:anchor="r31">
        <w:r>
          <w:rPr>
            <w:rStyle w:val="Hyperlink"/>
          </w:rPr>
          <w:t xml:space="preserve">31</w:t>
        </w:r>
      </w:hyperlink>
      <w:r>
        <w:t xml:space="preserve">] produces configuration-driven question–answer sets with controllable category</w:t>
      </w:r>
      <w:r>
        <w:t xml:space="preserve"> </w:t>
      </w:r>
      <w:r>
        <w:t xml:space="preserve">distributions; both stop at item generation, whereas CoEval closes the loop to a model</w:t>
      </w:r>
      <w:r>
        <w:t xml:space="preserve"> </w:t>
      </w:r>
      <w:r>
        <w:rPr>
          <w:i/>
          <w:iCs/>
        </w:rPr>
        <w:t xml:space="preserve">ranking</w:t>
      </w:r>
      <w:r>
        <w:t xml:space="preserve"> </w:t>
      </w:r>
      <w:r>
        <w:t xml:space="preserve">with a</w:t>
      </w:r>
      <w:r>
        <w:t xml:space="preserve"> </w:t>
      </w:r>
      <w:r>
        <w:t xml:space="preserve">vendor-disjoint panel and label-free aggregation. A recent static-to-dynamic survey [</w:t>
      </w:r>
      <w:hyperlink w:anchor="r32">
        <w:r>
          <w:rPr>
            <w:rStyle w:val="Hyperlink"/>
          </w:rPr>
          <w:t xml:space="preserve">32</w:t>
        </w:r>
      </w:hyperlink>
      <w:r>
        <w:t xml:space="preserve">] situates</w:t>
      </w:r>
      <w:r>
        <w:t xml:space="preserve"> </w:t>
      </w:r>
      <w:r>
        <w:t xml:space="preserve">this shift; Dynabench [</w:t>
      </w:r>
      <w:hyperlink w:anchor="r14">
        <w:r>
          <w:rPr>
            <w:rStyle w:val="Hyperlink"/>
          </w:rPr>
          <w:t xml:space="preserve">14</w:t>
        </w:r>
      </w:hyperlink>
      <w:r>
        <w:t xml:space="preserve">] renews benchmarks with humans in the loop where CoEval renews without</w:t>
      </w:r>
      <w:r>
        <w:t xml:space="preserve"> </w:t>
      </w:r>
      <w:r>
        <w:t xml:space="preserve">them; domain-specific judge sets [</w:t>
      </w:r>
      <w:hyperlink w:anchor="r25">
        <w:r>
          <w:rPr>
            <w:rStyle w:val="Hyperlink"/>
          </w:rPr>
          <w:t xml:space="preserve">25</w:t>
        </w:r>
      </w:hyperlink>
      <w:r>
        <w:t xml:space="preserve">] target verticals such as medicine and law, which CoEval</w:t>
      </w:r>
      <w:r>
        <w:t xml:space="preserve"> </w:t>
      </w:r>
      <w:r>
        <w:t xml:space="preserve">generates within the same pipeline; and Length-Controlled AlpacaEval [</w:t>
      </w:r>
      <w:hyperlink w:anchor="r8">
        <w:r>
          <w:rPr>
            <w:rStyle w:val="Hyperlink"/>
          </w:rPr>
          <w:t xml:space="preserve">8</w:t>
        </w:r>
      </w:hyperlink>
      <w:r>
        <w:t xml:space="preserve">] debiases verbosity post hoc</w:t>
      </w:r>
      <w:r>
        <w:t xml:space="preserve"> </w:t>
      </w:r>
      <w:r>
        <w:t xml:space="preserve">on a single judge, where CoEval cancels it through panel diversity (Appendix E).</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pStyle w:val="BodyText"/>
        <w:jc w:val="center"/>
        <w:keepNext/>
        <w:keepLines/>
        <w:widowControl w:val="1"/>
      </w:pPr>
      <w:r>
        <w:drawing>
          <wp:inline>
            <wp:extent cx="5943600" cy="1920171"/>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5943600" cy="192017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CoEval pipeline. A single pool of models rotates through three roles: teachers map attributes, construct rubrics, and generate fresh benchmark items (Phases 1–3); students produce candidate responses (Phase 4); and a cross-family judge ensemble scores them (Phase 5). The entire run is specified in one declarative configuration.</w:t>
      </w: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(Appendix E).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(Appendix E),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It generalizes</w:t>
      </w:r>
      <w:r>
        <w:t xml:space="preserve"> </w:t>
      </w:r>
      <w:r>
        <w:t xml:space="preserve">to a</w:t>
      </w:r>
      <w:r>
        <w:t xml:space="preserve"> </w:t>
      </w:r>
      <w:r>
        <w:rPr>
          <w:b/>
          <w:bCs/>
        </w:rPr>
        <w:t xml:space="preserve">doubly-robust ranking</w:t>
      </w:r>
      <w:r>
        <w:t xml:space="preserve"> </w:t>
      </w:r>
      <w:r>
        <w:t xml:space="preserve">that also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w:t>
      </w:r>
      <w:r>
        <w:t xml:space="preserve">(the variance of candidate-model scores on item</w:t>
      </w:r>
      <w:r>
        <w:t xml:space="preserve"> </w:t>
      </w:r>
      <m:oMath>
        <m:r>
          <m:t>i</m:t>
        </m:r>
      </m:oMath>
      <w:r>
        <w:t xml:space="preserve">), so the ranking leans</w:t>
      </w:r>
      <w:r>
        <w:t xml:space="preserve"> </w:t>
      </w:r>
      <w:r>
        <w:t xml:space="preserve">on the items that actually separate models and on the judges that agree with the panel, both label-free: the model</w:t>
      </w:r>
      <w:r>
        <w:t xml:space="preserve"> </w:t>
      </w:r>
      <w:r>
        <w:t xml:space="preserve">score is</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 normalized. We evaluate these 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pStyle w:val="TableCaption"/>
        <w:spacing w:before="280" w:after="60" w:line="240" w:lineRule="auto"/>
        <w:jc w:val="center"/>
        <w:keepNext/>
        <w:keepLines/>
        <w:widowControl w:val="1"/>
      </w:pPr>
      <w:r>
        <w:rPr>
          <w:b/>
          <w:i/>
        </w:rPr>
        <w:t>Table 1.</w:t>
      </w:r>
      <w:r>
        <w:rPr>
          <w:b w:val="0"/>
          <w:i/>
        </w:rPr>
        <w:t xml:space="preserve"> </w:t>
      </w:r>
      <w:r>
        <w:rPr>
          <w:b w:val="0"/>
          <w:i/>
        </w:rPr>
        <w:t>Experimental configurations. Judge panels differ by experiment because the ground-truth anchor (5.1) uses a frontier cross-family panel while the bias and reliability studies (5.2–5.3) use a deliberately heterogeneous panel that includes weak open-weight judges; the verticals (5.4, 5.7) reuse one 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7)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Experiment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Task(s)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Judge 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Size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5.1 ground truth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SciQ, ARC (exact-match QA)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 claude-sonnet-4, gemini-2.5-flash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191 items / 573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 reliability (5.1 summ. 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code (BLEU), news + text summ. (BERTScore)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 gpt-3.5-turbo, claude-haiku, 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 tasks / 900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5.2–5.3, App. 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4-task medium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 gpt-3.5-turbo, qwen2.5-1.5b, smollm2-1.7b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7,978 eval.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5.4, 5.6 verticals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drug-interaction, clinical, legal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claude-haiku, gemini-flash, 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40 items each</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5.5 contamination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SciQ memorization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exact-match (no LLM judge)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200 memorized / 100 fresh</w:t>
            </w:r>
          </w:p>
        </w:tc>
      </w:tr>
    </w:tbl>
    <w:bookmarkEnd w:id="23"/>
    <w:bookmarkStart w:id="34"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 5.2 and Appendix E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5.3 verifies the second condition</w:t>
      </w:r>
      <w:r>
        <w:t xml:space="preserve"> </w:t>
      </w:r>
      <w:r>
        <w:t xml:space="preserve">directly, that the generated items are</w:t>
      </w:r>
      <w:r>
        <w:t xml:space="preserve"> </w:t>
      </w:r>
      <w:r>
        <w:rPr>
          <w:i/>
          <w:iCs/>
        </w:rPr>
        <w:t xml:space="preserve">contamination-free</w:t>
      </w:r>
      <w:r>
        <w:t xml:space="preserve">. Section 5.4 exercises the complete tool on three custom verticals (drug interaction, clinical, legal) with no labeled data, and Appendix D shows that rankings are domain-specific: across four de-novo domains three different models take first place, so a generic leaderboard misdirects the practitioner that CoEval's per-domain ranking serves.</w:t>
      </w:r>
    </w:p>
    <w:bookmarkStart w:id="27" w:name="X7df2e9e9a901f5ac4e837e696941ee5802047fd"/>
    <w:p>
      <w:pPr>
        <w:pStyle w:val="Heading3"/>
        <w:keepNext/>
        <w:keepLines/>
        <w:widowControl w:val="1"/>
      </w:pPr>
      <w:r>
        <w:t xml:space="preserve">5.1 Judge accuracy: agreement with ground truth and human ratings</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0.20</m:t>
        </m:r>
      </m:oMath>
      <w:r>
        <w:t xml:space="preserve">) and the full-rubric average (</w:t>
      </w:r>
      <m:oMath>
        <m:r>
          <m:t>ρ</m:t>
        </m:r>
        <m:r>
          <m:rPr>
            <m:sty m:val="p"/>
          </m:rPr>
          <m:t>=</m:t>
        </m:r>
        <m:r>
          <m:t>0.55</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pStyle w:val="TableCaption"/>
        <w:spacing w:before="280" w:after="60" w:line="240" w:lineRule="auto"/>
        <w:jc w:val="center"/>
        <w:keepNext/>
        <w:keepLines/>
        <w:widowControl w:val="1"/>
      </w:pPr>
      <w:r>
        <w:rPr>
          <w:b/>
          <w:i/>
        </w:rPr>
        <w:t>Table 2.</w:t>
      </w:r>
      <w:r>
        <w:rPr>
          <w:b w:val="0"/>
          <w:i/>
        </w:rPr>
        <w:t xml:space="preserve"> </w:t>
      </w:r>
      <w:r>
        <w:rPr>
          <w:b w:val="0"/>
          <w:i/>
        </w:rPr>
        <w:t>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Evaluator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SciQ</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ARC-Challenge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Overall (clustered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CoEval frontier ensemble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+0.859</w:t>
            </w:r>
            <w:r>
              <w:rPr>
                <w:rFonts w:ascii="Georgia" w:hAnsi="Georgia"/>
                <w:sz w:val="19"/>
              </w:rPr>
              <w:t xml:space="preserve"> </w:t>
            </w:r>
            <w:r>
              <w:rPr>
                <w:rFonts w:ascii="Georgia" w:hAnsi="Georgia"/>
                <w:sz w:val="19"/>
              </w:rPr>
              <w:t xml:space="preserve">[0.77, 0.94]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gpt-4o (OpenAI)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claude-sonnet-4 (Anthropic)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gemini-2.5-flash (Google)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bl>
    <w:p>
      <w:pPr>
        <w:pStyle w:val="BodyText"/>
        <w:spacing w:before="240"/>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w:t>
      </w:r>
    </w:p>
    <w:p>
      <w:pPr>
        <w:pStyle w:val="BodyText"/>
        <w:jc w:val="both"/>
        <w:keepNext w:val="0"/>
        <w:keepLines w:val="0"/>
        <w:widowControl w:val="1"/>
      </w:pPr>
      <w:r>
        <w:t xml:space="preserve">On open-ended summarization scored against a lexical</w:t>
      </w:r>
      <w:r>
        <w:t xml:space="preserve"> </w:t>
      </w:r>
      <w:r>
        <w:t xml:space="preserve">BERTScore reference, the cross-family ensemble (</w:t>
      </w:r>
      <m:oMath>
        <m:r>
          <m:t>ρ</m:t>
        </m:r>
        <m:r>
          <m:rPr>
            <m:sty m:val="p"/>
          </m:rPr>
          <m:t>=</m:t>
        </m:r>
        <m:r>
          <m:t>0.227</m:t>
        </m:r>
      </m:oMath>
      <w:r>
        <w:t xml:space="preserve">) tracks ground truth within the confidence interval of a</w:t>
      </w:r>
      <w:r>
        <w:t xml:space="preserve"> </w:t>
      </w:r>
      <w:r>
        <w:t xml:space="preserve">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a statistical tie with this strong single-judge baseline, without depending on any one model. A single judge</w:t>
      </w:r>
      <w:r>
        <w:t xml:space="preserve"> </w:t>
      </w:r>
      <w:r>
        <w:t xml:space="preserve">cannot be chosen safely in advance: on this summarization subset (</w:t>
      </w:r>
      <m:oMath>
        <m:r>
          <m:t>n</m:t>
        </m:r>
        <m:r>
          <m:rPr>
            <m:sty m:val="p"/>
          </m:rPr>
          <m:t>=</m:t>
        </m:r>
        <m:r>
          <m:t>580</m:t>
        </m:r>
      </m:oMath>
      <w:r>
        <w:t xml:space="preserve">)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(Appendix E),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CoEval recovers the true model ranking with no labels. For each student model the CoEval frontier-ensemble accuracy score (green, datapoint-clustered 95% CI) and the held-out ground-truth accuracy (blue) coincide within 0.02, and the order gpt-4o-mini &gt; gpt-3.5-turbo &gt; llama-3.2-3b is reproduced exactly (cf. Table 3).</w:t>
      </w:r>
    </w:p>
    <w:p>
      <w:pPr>
        <w:pStyle w:val="TableCaption"/>
        <w:spacing w:before="280" w:after="60" w:line="240" w:lineRule="auto"/>
        <w:jc w:val="center"/>
        <w:keepNext/>
        <w:keepLines/>
        <w:widowControl w:val="1"/>
      </w:pPr>
      <w:r>
        <w:rPr>
          <w:b/>
          <w:i/>
        </w:rPr>
        <w:t>Table 3.</w:t>
      </w:r>
      <w:r>
        <w:rPr>
          <w:b w:val="0"/>
          <w:i/>
        </w:rPr>
        <w:t xml:space="preserve"> </w:t>
      </w:r>
      <w:r>
        <w:rPr>
          <w:b w:val="0"/>
          <w:i/>
        </w:rPr>
        <w:t>CoEval reproduces the ground-truth model ranking. Three student models ranked by CoEval frontier-ensemble accuracy score (datapoint-clustered 95% CI) and by exact-match ground truth; the orderings 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 under evaluation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CoEval score [95% CI]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Ground-truth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0.963 [0.937, 0.984]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0.921 [0.880, 0.958]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0.843 [0.791, 0.895]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0.832</w:t>
            </w:r>
          </w:p>
        </w:tc>
      </w:tr>
    </w:tbl>
    <w:p>
      <w:pPr>
        <w:pStyle w:val="BodyText"/>
        <w:spacing w:before="240"/>
        <w:jc w:val="both"/>
        <w:keepNext w:val="0"/>
        <w:keepLines w:val="0"/>
        <w:widowControl w:val="1"/>
      </w:pPr>
      <w:r>
        <w:rPr>
          <w:b/>
          <w:bCs/>
        </w:rPr>
        <w:t xml:space="preserve">Agreement with human judgments.</w:t>
      </w:r>
      <w:r>
        <w:t xml:space="preserve"> </w:t>
      </w:r>
      <w:r>
        <w:t xml:space="preserve">The validation above anchors the judge to objective exact-match</w:t>
      </w:r>
      <w:r>
        <w:t xml:space="preserve"> </w:t>
      </w:r>
      <w:r>
        <w:t xml:space="preserve">ground truth. We additionally test it against</w:t>
      </w:r>
      <w:r>
        <w:t xml:space="preserve"> </w:t>
      </w:r>
      <w:r>
        <w:rPr>
          <w:i/>
          <w:iCs/>
        </w:rPr>
        <w:t xml:space="preserve">human</w:t>
      </w:r>
      <w:r>
        <w:t xml:space="preserve"> </w:t>
      </w:r>
      <w:r>
        <w:t xml:space="preserve">quality judgments on two standard meta-evaluation</w:t>
      </w:r>
      <w:r>
        <w:t xml:space="preserve"> </w:t>
      </w:r>
      <w:r>
        <w:t xml:space="preserve">benchmarks, scoring with the same cheap cross-family panel (</w:t>
      </w:r>
      <w:r>
        <w:rPr>
          <w:rStyle w:val="VerbatimChar"/>
        </w:rPr>
        <w:t xml:space="preserve">gpt-4o-mini</w:t>
      </w:r>
      <w:r>
        <w:t xml:space="preserve">,</w:t>
      </w:r>
      <w:r>
        <w:t xml:space="preserve"> </w:t>
      </w:r>
      <w:r>
        <w:rPr>
          <w:rStyle w:val="VerbatimChar"/>
        </w:rPr>
        <w:t xml:space="preserve">claude-3.5-haiku</w:t>
      </w:r>
      <w:r>
        <w:t xml:space="preserve">,</w:t>
      </w:r>
      <w:r>
        <w:t xml:space="preserve"> </w:t>
      </w:r>
      <w:r>
        <w:rPr>
          <w:rStyle w:val="VerbatimChar"/>
        </w:rPr>
        <w:t xml:space="preserve">gemini-flash</w:t>
      </w:r>
      <w:r>
        <w:t xml:space="preserve">). On SummEval [</w:t>
      </w:r>
      <w:hyperlink w:anchor="r37">
        <w:r>
          <w:rPr>
            <w:rStyle w:val="Hyperlink"/>
          </w:rPr>
          <w:t xml:space="preserve">37</w:t>
        </w:r>
      </w:hyperlink>
      <w:r>
        <w:t xml:space="preserve">], where experts rate machine summaries, the panel</w:t>
      </w:r>
      <w:r>
        <w:t xml:space="preserve"> </w:t>
      </w:r>
      <w:r>
        <w:t xml:space="preserve">correlates with human ratings at Spearman</w:t>
      </w:r>
      <w:r>
        <w:t xml:space="preserve"> </w:t>
      </w:r>
      <m:oMath>
        <m:r>
          <m:t>0.53</m:t>
        </m:r>
      </m:oMath>
      <w:r>
        <w:t xml:space="preserve"> </w:t>
      </w:r>
      <w:r>
        <w:t xml:space="preserve">(relevance),</w:t>
      </w:r>
      <w:r>
        <w:t xml:space="preserve"> </w:t>
      </w:r>
      <m:oMath>
        <m:r>
          <m:t>0.58</m:t>
        </m:r>
      </m:oMath>
      <w:r>
        <w:t xml:space="preserve"> </w:t>
      </w:r>
      <w:r>
        <w:t xml:space="preserve">(coherence), and</w:t>
      </w:r>
      <w:r>
        <w:t xml:space="preserve"> </w:t>
      </w:r>
      <m:oMath>
        <m:r>
          <m:t>0.56</m:t>
        </m:r>
      </m:oMath>
      <w:r>
        <w:t xml:space="preserve"> </w:t>
      </w:r>
      <w:r>
        <w:t xml:space="preserve">(consistency), in the</w:t>
      </w:r>
      <w:r>
        <w:t xml:space="preserve"> </w:t>
      </w:r>
      <w:r>
        <w:t xml:space="preserve">range strong single-model judges such as G-Eval [</w:t>
      </w:r>
      <w:hyperlink w:anchor="r2">
        <w:r>
          <w:rPr>
            <w:rStyle w:val="Hyperlink"/>
          </w:rPr>
          <w:t xml:space="preserve">2</w:t>
        </w:r>
      </w:hyperlink>
      <w:r>
        <w:t xml:space="preserve">] report on this benchmark, reached here by a</w:t>
      </w:r>
      <w:r>
        <w:t xml:space="preserve"> </w:t>
      </w:r>
      <w:r>
        <w:t xml:space="preserve">panel of small models; the panel exceeds its best single judge on relevance and coherence, and the blind</w:t>
      </w:r>
      <w:r>
        <w:t xml:space="preserve"> </w:t>
      </w:r>
      <w:r>
        <w:t xml:space="preserve">single-judge average on all three. On LLMBar [</w:t>
      </w:r>
      <w:hyperlink w:anchor="r38">
        <w:r>
          <w:rPr>
            <w:rStyle w:val="Hyperlink"/>
          </w:rPr>
          <w:t xml:space="preserve">38</w:t>
        </w:r>
      </w:hyperlink>
      <w:r>
        <w:t xml:space="preserve">], which asks an evaluator to pick the</w:t>
      </w:r>
      <w:r>
        <w:t xml:space="preserve"> </w:t>
      </w:r>
      <w:r>
        <w:t xml:space="preserve">human-preferred output, the panel scores each output</w:t>
      </w:r>
      <w:r>
        <w:t xml:space="preserve"> </w:t>
      </w:r>
      <w:r>
        <w:rPr>
          <w:i/>
          <w:iCs/>
        </w:rPr>
        <w:t xml:space="preserve">absolutely</w:t>
      </w:r>
      <w:r>
        <w:t xml:space="preserve"> </w:t>
      </w:r>
      <w:r>
        <w:t xml:space="preserve">(so no position bias) and prefers the</w:t>
      </w:r>
      <w:r>
        <w:t xml:space="preserve"> </w:t>
      </w:r>
      <w:r>
        <w:t xml:space="preserve">higher; it reaches</w:t>
      </w:r>
      <w:r>
        <w:t xml:space="preserve"> </w:t>
      </w:r>
      <m:oMath>
        <m:r>
          <m:t>0.845</m:t>
        </m:r>
      </m:oMath>
      <w:r>
        <w:t xml:space="preserve"> </w:t>
      </w:r>
      <w:r>
        <w:t xml:space="preserve">preference accuracy overall (</w:t>
      </w:r>
      <m:oMath>
        <m:r>
          <m:t>0.94</m:t>
        </m:r>
      </m:oMath>
      <w:r>
        <w:t xml:space="preserve"> </w:t>
      </w:r>
      <w:r>
        <w:t xml:space="preserve">on the natural split), exceeding the expected accuracy</w:t>
      </w:r>
      <w:r>
        <w:t xml:space="preserve"> </w:t>
      </w:r>
      <w:r>
        <w:t xml:space="preserve">of a single judge chosen blind (</w:t>
      </w:r>
      <m:oMath>
        <m:r>
          <m:t>0.76</m:t>
        </m:r>
      </m:oMath>
      <w:r>
        <w:t xml:space="preserve">) by</w:t>
      </w:r>
      <w:r>
        <w:t xml:space="preserve"> </w:t>
      </w:r>
      <m:oMath>
        <m:r>
          <m:t>0.08</m:t>
        </m:r>
      </m:oMath>
      <w:r>
        <w:t xml:space="preserve"> </w:t>
      </w:r>
      <w:r>
        <w:t xml:space="preserve">and matching the best single judge (</w:t>
      </w:r>
      <m:oMath>
        <m:r>
          <m:t>0.84</m:t>
        </m:r>
      </m:oMath>
      <w:r>
        <w:t xml:space="preserve">) without needing to know</w:t>
      </w:r>
      <w:r>
        <w:t xml:space="preserve"> </w:t>
      </w:r>
      <w:r>
        <w:t xml:space="preserve">which judge that is. Because peer-agreement weights are near-uniform on a clean panel, the weighted and unweighted</w:t>
      </w:r>
      <w:r>
        <w:t xml:space="preserve"> </w:t>
      </w:r>
      <w:r>
        <w:t xml:space="preserve">panels coincide here; the weighting earns its value under judge-pool contamination (Section 5.2).</w:t>
      </w:r>
    </w:p>
    <w:p>
      <w:pPr>
        <w:pStyle w:val="BodyText"/>
        <w:jc w:val="both"/>
        <w:keepNext w:val="0"/>
        <w:keepLines w:val="0"/>
        <w:widowControl w:val="1"/>
      </w:pPr>
      <w:r>
        <w:rPr>
          <w:b/>
          <w:bCs/>
        </w:rPr>
        <w:t xml:space="preserve">Agreement with human judgments.</w:t>
      </w:r>
      <w:r>
        <w:t xml:space="preserve"> </w:t>
      </w:r>
      <w:r>
        <w:t xml:space="preserve">CoEval cross-family panel versus humans on two standard</w:t>
      </w:r>
      <w:r>
        <w:t xml:space="preserve"> </w:t>
      </w:r>
      <w:r>
        <w:t xml:space="preserve">meta-evaluation benchmarks: SummEval (Spearman of panel score with expert ratings,</w:t>
      </w:r>
      <w:r>
        <w:t xml:space="preserve"> </w:t>
      </w:r>
      <m:oMath>
        <m:r>
          <m:t>n</m:t>
        </m:r>
        <m:r>
          <m:rPr>
            <m:sty m:val="p"/>
          </m:rPr>
          <m:t>=</m:t>
        </m:r>
        <m:r>
          <m:t>293</m:t>
        </m:r>
      </m:oMath>
      <w:r>
        <w:t xml:space="preserve">) and LLMBar (accuracy</w:t>
      </w:r>
      <w:r>
        <w:t xml:space="preserve"> </w:t>
      </w:r>
      <w:r>
        <w:t xml:space="preserve">at matching the human-preferred output,</w:t>
      </w:r>
      <w:r>
        <w:t xml:space="preserve"> </w:t>
      </w:r>
      <m:oMath>
        <m:r>
          <m:t>n</m:t>
        </m:r>
        <m:r>
          <m:rPr>
            <m:sty m:val="p"/>
          </m:rPr>
          <m:t>=</m:t>
        </m:r>
        <m:r>
          <m:t>400</m:t>
        </m:r>
      </m:oMath>
      <w:r>
        <w:t xml:space="preserve">). The panel tracks or exceeds the best single judge, which a</w:t>
      </w:r>
      <w:r>
        <w:t xml:space="preserve"> </w:t>
      </w:r>
      <w:r>
        <w:t xml:space="preserve">label-free user cannot select in advance, and clearly beats the blind single-judge average.</w:t>
      </w:r>
    </w:p>
    <w:tbl>
      <w:tblPr>
        <w:tblStyle w:val="Table"/>
        <w:tblW w:type="pct" w:w="5000"/>
        <w:jc w:val="center"/>
        <w:tblLook w:firstRow="1" w:lastRow="0" w:firstColumn="0" w:lastColumn="0" w:noHBand="0" w:noVBand="0" w:val="0020"/>
        <w:tblCaption w:val="Agreement with human judgments. CoEval cross-family panel versus humans on two standard meta-evaluation benchmarks: SummEval (Spearman of panel score with expert ratings, n = 293) and LLMBar (accuracy at matching the human-preferred output, n = 400). The panel tracks or exceeds the best single judge, which a label-free user cannot select in advance, and clearly beats the blind single-judge averag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Benchmark and metric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Best single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Blind single (avg)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SummEval relevance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SummEval coherence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SummEval consistency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LLMBar overall (accuracy)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0.762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LLMBar natural split (accuracy)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0.941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0.860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0.831</w:t>
            </w:r>
          </w:p>
        </w:tc>
      </w:tr>
    </w:tbl>
    <w:bookmarkEnd w:id="27"/>
    <w:bookmarkStart w:id="31"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its</w:t>
      </w:r>
      <w:r>
        <w:t xml:space="preserve"> </w:t>
      </w:r>
      <w:r>
        <w:t xml:space="preserve">consensus criterion identifies and retains the high-agreement judges, delivering the reliable configuration</w:t>
      </w:r>
      <w:r>
        <w:t xml:space="preserve"> </w:t>
      </w:r>
      <w:r>
        <w:t xml:space="preserve">automatically. In other words, the framework converts panel composition from a liability for an unweighted</w:t>
      </w:r>
      <w:r>
        <w:t xml:space="preserve"> </w:t>
      </w:r>
      <w:r>
        <w:t xml:space="preserve">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Composition over size. Average-measures reliability ICC(3, k) as judges are added in descending agreement order. A selected strong panel reaches ICC = 0.70; indiscriminately adding low-agreement judges lowers the mean inter-rater correlation faster than averaging compensates, so reliability falls. CoEval's consensus selection retains the high-agreement judges, delivering the reliable configuration automatically.</w:t>
      </w:r>
    </w:p>
    <w:p>
      <w:pPr>
        <w:pStyle w:val="BodyText"/>
        <w:jc w:val="both"/>
        <w:keepNext w:val="0"/>
        <w:keepLines w:val="0"/>
        <w:widowControl w:val="1"/>
      </w:pPr>
      <w:r>
        <w:t xml:space="preserve">Composition matters because the</w:t>
      </w:r>
      <w:r>
        <w:t xml:space="preserve"> </w:t>
      </w:r>
      <w:r>
        <w:rPr>
          <w:i/>
          <w:iCs/>
        </w:rPr>
        <w:t xml:space="preserve">wrong single judge can actively mislead</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5.4)</w:t>
      </w:r>
      <w:r>
        <w:t xml:space="preserve"> </w:t>
      </w:r>
      <w:r>
        <w:t xml:space="preserve">and the judges that agree with the panel. On a benchmark-grounded check where gold accuracy is available (thirteen</w:t>
      </w:r>
      <w:r>
        <w:t xml:space="preserve"> </w:t>
      </w:r>
      <w:r>
        <w:t xml:space="preserve">models ranked on science QA and reasoning, spanning</w:t>
      </w:r>
      <w:r>
        <w:t xml:space="preserve"> </w:t>
      </w:r>
      <w:r>
        <w:rPr>
          <w:rStyle w:val="VerbatimChar"/>
        </w:rPr>
        <w:t xml:space="preserve">gpt-4o</w:t>
      </w:r>
      <w:r>
        <w:t xml:space="preserve"> </w:t>
      </w:r>
      <w:r>
        <w:t xml:space="preserve">down to</w:t>
      </w:r>
      <w:r>
        <w:t xml:space="preserve"> </w:t>
      </w:r>
      <w:r>
        <w:rPr>
          <w:rStyle w:val="VerbatimChar"/>
        </w:rPr>
        <w:t xml:space="preserve">llama-3.2-1b</w:t>
      </w:r>
      <w:r>
        <w:t xml:space="preserve">), it improves</w:t>
      </w:r>
      <w:r>
        <w:t xml:space="preserve"> </w:t>
      </w:r>
      <w:r>
        <w:t xml:space="preserve">rank-recovery of the true model ordering from the plain mean's Spearman</w:t>
      </w:r>
      <w:r>
        <w:t xml:space="preserve"> </w:t>
      </w:r>
      <m:oMath>
        <m:r>
          <m:t>0.88</m:t>
        </m:r>
      </m:oMath>
      <w:r>
        <w:t xml:space="preserve"> </w:t>
      </w:r>
      <w:r>
        <w:t xml:space="preserve">(Kendall</w:t>
      </w:r>
      <w:r>
        <w:t xml:space="preserve"> </w:t>
      </w:r>
      <m:oMath>
        <m:r>
          <m:t>0.76</m:t>
        </m:r>
      </m:oMath>
      <w:r>
        <w:t xml:space="preserve">) to</w:t>
      </w:r>
      <w:r>
        <w:t xml:space="preserve"> </w:t>
      </w:r>
      <m:oMath>
        <m:r>
          <m:t>0.95</m:t>
        </m:r>
      </m:oMath>
      <w:r>
        <w:t xml:space="preserve"> </w:t>
      </w:r>
      <w:r>
        <w:t xml:space="preserve">(Kendall</w:t>
      </w:r>
      <w:r>
        <w:t xml:space="preserve"> </w:t>
      </w:r>
      <m:oMath>
        <m:r>
          <m:t>0.87</m:t>
        </m:r>
      </m:oMath>
      <w:r>
        <w:t xml:space="preserve">), by down-weighting saturated items that carry no ranking signal (nearly half</w:t>
      </w:r>
      <w:r>
        <w:t xml:space="preserve"> </w:t>
      </w:r>
      <w:r>
        <w:t xml:space="preserve">the items hold near-zero weight) and judges that disagree with the panel. The two signals are complementary, each</w:t>
      </w:r>
      <w:r>
        <w:t xml:space="preserve"> </w:t>
      </w:r>
      <w:r>
        <w:t xml:space="preserve">helping on its own (item-weighting alone</w:t>
      </w:r>
      <w:r>
        <w:t xml:space="preserve"> </w:t>
      </w:r>
      <m:oMath>
        <m:r>
          <m:t>0.94</m:t>
        </m:r>
      </m:oMath>
      <w:r>
        <w:t xml:space="preserve">, judge-weighting alone</w:t>
      </w:r>
      <w:r>
        <w:t xml:space="preserve"> </w:t>
      </w:r>
      <m:oMath>
        <m:r>
          <m:t>0.92</m:t>
        </m:r>
      </m:oMath>
      <w:r>
        <w:t xml:space="preserve">) and most on the discriminative items</w:t>
      </w:r>
      <w:r>
        <w:t xml:space="preserve"> </w:t>
      </w:r>
      <w:r>
        <w:t xml:space="preserve">where judge reliability matters. The aggregator is robust: injecting a random judge degrades the plain mean to</w:t>
      </w:r>
      <w:r>
        <w:t xml:space="preserve"> </w:t>
      </w:r>
      <m:oMath>
        <m:r>
          <m:t>0.85</m:t>
        </m:r>
      </m:oMath>
      <w:r>
        <w:t xml:space="preserve"> </w:t>
      </w:r>
      <w:r>
        <w:t xml:space="preserve">but leaves the doubly-robust ranking at</w:t>
      </w:r>
      <w:r>
        <w:t xml:space="preserve"> </w:t>
      </w:r>
      <m:oMath>
        <m:r>
          <m:t>0.95</m:t>
        </m:r>
      </m:oMath>
      <w:r>
        <w:t xml:space="preserve">, with the rogue judge receiving weight</w:t>
      </w:r>
      <w:r>
        <w:t xml:space="preserve"> </w:t>
      </w:r>
      <m:oMath>
        <m:r>
          <m:t>0.00</m:t>
        </m:r>
      </m:oMath>
      <w:r>
        <w:t xml:space="preserve">. Compared against standard</w:t>
      </w:r>
      <w:r>
        <w:t xml:space="preserve"> </w:t>
      </w:r>
      <w:r>
        <w:t xml:space="preserve">baselines on the same scores (Table 4), the doubly-robust ranking matches or beats the best single judge (an</w:t>
      </w:r>
      <w:r>
        <w:t xml:space="preserve"> </w:t>
      </w:r>
      <w:r>
        <w:t xml:space="preserve">oracle, since which judge is best is not knowable without labels), the unweighted panel (PoLL), and the median; its</w:t>
      </w:r>
      <w:r>
        <w:t xml:space="preserve"> </w:t>
      </w:r>
      <w:r>
        <w:t xml:space="preserve">decisive advantage is robustness to a contaminated judge pool: adding rogue judges steadily degrades the unweighted</w:t>
      </w:r>
      <w:r>
        <w:t xml:space="preserve"> </w:t>
      </w:r>
      <w:r>
        <w:t xml:space="preserve">mean (0.88, 0.85, 0.64) and even the median (0.94, 0.91, 0.71) at zero, one, and three rogue judges, while the</w:t>
      </w:r>
      <w:r>
        <w:t xml:space="preserve"> </w:t>
      </w:r>
      <w:r>
        <w:t xml:space="preserve">doubly-robust ranking is invariant to a minority rogue (0.95) and still leads at rogue parity (0.79).</w:t>
      </w:r>
    </w:p>
    <w:p>
      <w:pPr>
        <w:pStyle w:val="TableCaption"/>
        <w:spacing w:before="280" w:after="60" w:line="240" w:lineRule="auto"/>
        <w:jc w:val="center"/>
        <w:keepNext/>
        <w:keepLines/>
        <w:widowControl w:val="1"/>
      </w:pPr>
      <w:r>
        <w:rPr>
          <w:b/>
          <w:i/>
        </w:rPr>
        <w:t>Table 4.</w:t>
      </w:r>
      <w:r>
        <w:rPr>
          <w:b w:val="0"/>
          <w:i/>
        </w:rPr>
        <w:t xml:space="preserve"> </w:t>
      </w:r>
      <w:r>
        <w:rPr>
          <w:b w:val="0"/>
          <w:i/>
        </w:rPr>
        <w:t>Rank-recovery on thirteen candidate models (science QA and reasoning; gold = benchmark-native accuracy), comparing standard label-free baselines (best single judge, unweighted panel / PoLL, median) against the CoEval weights. Each CoEval weight helps on its own, and the two compose into the best recovery; the aggregator alone is robust to an injected random judge, which it gives weight 0.00. Values are the Spearman and Kendall correlations between the recovered ranking and the gold-accuracy ranking.</w:t>
      </w:r>
    </w:p>
    <w:tbl>
      <w:tblPr>
        <w:tblStyle w:val="Table"/>
        <w:tblW w:type="pct" w:w="5000"/>
        <w:jc w:val="center"/>
        <w:tblLook w:firstRow="1" w:lastRow="0" w:firstColumn="0" w:lastColumn="0" w:noHBand="0" w:noVBand="0" w:val="0020"/>
        <w:tblCaption w:val="Table 4. Rank-recovery on thirteen candidate models (science QA and reasoning; gold = benchmark-native accuracy), comparing standard label-free baselines (best single judge, unweighted panel / PoLL, median) against the CoEval weights. Each CoEval weight helps on its own, and the two compose into the best recovery; the aggregator alone is robust to an injected random judge, which it gives weight 0.00. Values are the Spearman and Kendall correlations between the recovered ranking and the gold-accuracy rank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Aggregator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Spearman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Kendall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Best single judge (oracle)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Panel mean (PoLL)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Panel median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Item-weighted (discrimination)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Judge-weighted (agreement)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Doubly-robust (both)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with injected random judge: panel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with injected random judge: doubly-robust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0.87</w:t>
            </w:r>
          </w:p>
        </w:tc>
      </w:tr>
    </w:tbl>
    <w:p>
      <w:pPr>
        <w:pStyle w:val="BodyText"/>
        <w:spacing w:before="240"/>
        <w:jc w:val="both"/>
        <w:keepNext w:val="0"/>
        <w:keepLines w:val="0"/>
        <w:widowControl w:val="1"/>
      </w:pPr>
      <w:r>
        <w:t xml:space="preserve">The ensemble also cancels</w:t>
      </w:r>
      <w:r>
        <w:t xml:space="preserve"> </w:t>
      </w:r>
      <w:r>
        <w:rPr>
          <w:i/>
          <w:iCs/>
        </w:rPr>
        <w:t xml:space="preserve">verbosity bias</w:t>
      </w:r>
      <w:r>
        <w:t xml:space="preserve"> </w:t>
      </w:r>
      <w:r>
        <w:t xml:space="preserve">(mixed-sign per-judge length biases average to a</w:t>
      </w:r>
      <w:r>
        <w:t xml:space="preserve"> </w:t>
      </w:r>
      <w:r>
        <w:t xml:space="preserve">near-zero ensemble correlation) and, by vendor-disjoint construction, precludes same-family</w:t>
      </w:r>
      <w:r>
        <w:t xml:space="preserve"> </w:t>
      </w:r>
      <w:r>
        <w:rPr>
          <w:i/>
          <w:iCs/>
        </w:rPr>
        <w:t xml:space="preserve">self-preference</w:t>
      </w:r>
      <w:r>
        <w:t xml:space="preserve">; Appendix E reports both, including the residual-bias measurements.</w:t>
      </w:r>
    </w:p>
    <w:bookmarkEnd w:id="31"/>
    <w:bookmarkStart w:id="32" w:name="contamination-resistance"/>
    <w:p>
      <w:pPr>
        <w:pStyle w:val="Heading3"/>
        <w:keepNext/>
        <w:keepLines/>
        <w:widowControl w:val="1"/>
      </w:pPr>
      <w:r>
        <w:t xml:space="preserve">5.3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bookmarkEnd w:id="32"/>
    <w:bookmarkStart w:id="33" w:name="putting-it-together-domain-case-studies"/>
    <w:p>
      <w:pPr>
        <w:pStyle w:val="Heading3"/>
        <w:keepNext/>
        <w:keepLines/>
        <w:widowControl w:val="1"/>
      </w:pPr>
      <w:r>
        <w:t xml:space="preserve">5.4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C">
        <w:r>
          <w:rPr>
            <w:rStyle w:val="Hyperlink"/>
          </w:rPr>
          <w:t xml:space="preserve">Appendix C</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5).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pStyle w:val="TableCaption"/>
        <w:spacing w:before="280" w:after="60" w:line="240" w:lineRule="auto"/>
        <w:jc w:val="center"/>
        <w:keepNext/>
        <w:keepLines/>
        <w:widowControl w:val="1"/>
      </w:pPr>
      <w:r>
        <w:rPr>
          <w:b/>
          <w:i/>
        </w:rPr>
        <w:t>Table 5.</w:t>
      </w:r>
      <w:r>
        <w:rPr>
          <w:b w:val="0"/>
          <w:i/>
        </w:rPr>
        <w:t xml:space="preserve"> </w:t>
      </w:r>
      <w:r>
        <w:rPr>
          <w:b w:val="0"/>
          <w:i/>
        </w:rPr>
        <w:t>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5. 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Vertical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CoEval score [95%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Drug–drug 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0.770 [0.739, 0.800]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0.682 [0.646, 0.717]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0.497 [0.459, 0.532]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Clinical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0.873 [0.849, 0.895]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0.864 [0.840, 0.885]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0.814 [0.784, 0.844]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Legal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0.982 [0.973, 0.991]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0.740 [0.709, 0.770]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0.709 [0.677, 0.744]</w:t>
            </w:r>
          </w:p>
        </w:tc>
      </w:tr>
    </w:tbl>
    <w:p>
      <w:pPr>
        <w:pStyle w:val="BodyText"/>
        <w:spacing w:before="240"/>
        <w:jc w:val="both"/>
        <w:keepNext w:val="0"/>
        <w:keepLines w:val="0"/>
        <w:widowControl w:val="1"/>
      </w:pPr>
      <w:r>
        <w:t xml:space="preserve">Rankings are also</w:t>
      </w:r>
      <w:r>
        <w:t xml:space="preserve"> </w:t>
      </w:r>
      <w:r>
        <w:rPr>
          <w:i/>
          <w:iCs/>
        </w:rPr>
        <w:t xml:space="preserve">domain-specific</w:t>
      </w:r>
      <w:r>
        <w:t xml:space="preserve">: across four de-novo domains three different models take first place,</w:t>
      </w:r>
      <w:r>
        <w:t xml:space="preserve"> </w:t>
      </w:r>
      <w:r>
        <w:t xml:space="preserve">so a generic leaderboard misdirects most practitioners. Appendix D details this divergence (Table D1).</w:t>
      </w:r>
    </w:p>
    <w:bookmarkEnd w:id="33"/>
    <w:bookmarkEnd w:id="34"/>
    <w:bookmarkStart w:id="35"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The composition-over-size finding explains</w:t>
      </w:r>
      <w:r>
        <w:t xml:space="preserve"> </w:t>
      </w:r>
      <w:r>
        <w:rPr>
          <w:i/>
          <w:iCs/>
        </w:rPr>
        <w:t xml:space="preserve">why</w:t>
      </w:r>
      <w:r>
        <w:t xml:space="preserve"> </w:t>
      </w:r>
      <w:r>
        <w:t xml:space="preserve">this label-free judging can be trusted.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bookmarkEnd w:id="35"/>
    <w:bookmarkStart w:id="36"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framework for</w:t>
      </w:r>
      <w:r>
        <w:t xml:space="preserve"> </w:t>
      </w:r>
      <w:r>
        <w:rPr>
          <w:i/>
          <w:iCs/>
        </w:rPr>
        <w:t xml:space="preserve">ensemble self-evaluation</w:t>
      </w:r>
      <w:r>
        <w:t xml:space="preserve"> </w:t>
      </w:r>
      <w:r>
        <w:t xml:space="preserve">that ranks language models for a specific application when neither labeled data nor a trustworthy benchmark is available: from a task description alone, a pool of models rotates through all three roles, teacher, student, and judge, to generate a fresh, contamination-resistant benchmark, answer it, and rank the candidates, jointly weighting questions by discriminative power and judges by consensus, with no human annotation. Because every model also answers as a student, the same responses supply the data for both label-free weights.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w:t>
      </w:r>
    </w:p>
    <w:p>
      <w:pPr>
        <w:pStyle w:val="BodyText"/>
        <w:jc w:val="both"/>
        <w:keepNext w:val="0"/>
        <w:keepLines w:val="0"/>
        <w:widowControl w:val="1"/>
      </w:pPr>
      <w:r>
        <w:t xml:space="preserve">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the same weighting down-weights non-discriminative</w:t>
      </w:r>
      <w:r>
        <w:t xml:space="preserve"> </w:t>
      </w:r>
      <w:r>
        <w:t xml:space="preserve">challenges, so saturated questions carry no spurious ranking signal. Because model rankings are</w:t>
      </w:r>
      <w:r>
        <w:t xml:space="preserve"> </w:t>
      </w:r>
      <w:r>
        <w:rPr>
          <w:i/>
          <w:iCs/>
        </w:rPr>
        <w:t xml:space="preserve">domain-specific</w:t>
      </w:r>
      <w:r>
        <w:t xml:space="preserve"> </w:t>
      </w:r>
      <w:r>
        <w:t xml:space="preserve">(three different models top four de-novo domains, so a generic leaderboard misdirects most</w:t>
      </w:r>
      <w:r>
        <w:t xml:space="preserve"> </w:t>
      </w:r>
      <w:r>
        <w:t xml:space="preserve">practitioners) and the same declarative pipeline runs unchanged across models and domains, re-running on</w:t>
      </w:r>
      <w:r>
        <w:t xml:space="preserve"> </w:t>
      </w:r>
      <w:r>
        <w:t xml:space="preserve">every model release, CoEval is a reusable instrument a team points at its own application when neither labeled data nor</w:t>
      </w:r>
      <w:r>
        <w:t xml:space="preserve"> </w:t>
      </w:r>
      <w:r>
        <w:t xml:space="preserve">a trustworthy benchmark exists, rather than a single static study. CoEval is open-source and fully reproducible.</w:t>
      </w:r>
    </w:p>
    <w:bookmarkEnd w:id="36"/>
    <w:bookmarkStart w:id="37" w:name="limitations"/>
    <w:p>
      <w:pPr>
        <w:pStyle w:val="Heading2"/>
        <w:keepNext/>
        <w:keepLines/>
        <w:widowControl w:val="1"/>
      </w:pPr>
      <w:r>
        <w:t xml:space="preserve">Limitations</w:t>
      </w:r>
    </w:p>
    <w:p>
      <w:pPr>
        <w:pStyle w:val="FirstParagraph"/>
        <w:jc w:val="both"/>
        <w:keepNext w:val="0"/>
        <w:keepLines w:val="0"/>
        <w:widowControl w:val="1"/>
      </w:pPr>
      <w:r>
        <w:t xml:space="preserve">Three boundary conditions delimit the validated regime. First, judge accuracy is anchored to objective exact-match QA,</w:t>
      </w:r>
      <w:r>
        <w:t xml:space="preserve"> </w:t>
      </w:r>
      <w:r>
        <w:t xml:space="preserve">where labels exist (Section 5.1,</w:t>
      </w:r>
      <w:r>
        <w:t xml:space="preserve"> </w:t>
      </w:r>
      <m:oMath>
        <m:r>
          <m:t>ρ</m:t>
        </m:r>
        <m:r>
          <m:rPr>
            <m:sty m:val="p"/>
          </m:rPr>
          <m:t>=</m:t>
        </m:r>
        <m:r>
          <m:t>0.86</m:t>
        </m:r>
      </m:oMath>
      <w:r>
        <w:t xml:space="preserve">), and to human ratings on two public meta-evaluation benchmarks</w:t>
      </w:r>
      <w:r>
        <w:t xml:space="preserve"> </w:t>
      </w:r>
      <w:r>
        <w:t xml:space="preserve">(Section 5.1, SummEval and LLMBar); on the subjective custom domains (Section 5.4) the panel's trustworthiness</w:t>
      </w:r>
      <w:r>
        <w:t xml:space="preserve"> </w:t>
      </w:r>
      <w:r>
        <w:t xml:space="preserve">rests on those anchors together with its measured bias and reliability properties (Section 5.2 and Appendix E), and</w:t>
      </w:r>
      <w:r>
        <w:t xml:space="preserve"> </w:t>
      </w:r>
      <w:r>
        <w:t xml:space="preserve">rankings are reported as cross-family intervals rather than against a held-out gold ranking, which by assumption does</w:t>
      </w:r>
      <w:r>
        <w:t xml:space="preserve"> </w:t>
      </w:r>
      <w:r>
        <w:t xml:space="preserve">not exist. Task-specific human evaluation on those domains is the natural convergent check and the primary direction for</w:t>
      </w:r>
      <w:r>
        <w:t xml:space="preserve"> </w:t>
      </w:r>
      <w:r>
        <w:t xml:space="preserve">future validation. Second, the study spans up to thirteen candidate models across four exact-match QA tasks, three</w:t>
      </w:r>
      <w:r>
        <w:t xml:space="preserve"> </w:t>
      </w:r>
      <w:r>
        <w:t xml:space="preserve">custom verticals, a four-domain divergence study (Appendix D), and a thirteen-model rank-recovery check</w:t>
      </w:r>
      <w:r>
        <w:t xml:space="preserve"> </w:t>
      </w:r>
      <w:r>
        <w:t xml:space="preserve">(Section 5.2); wider model pools and further domains would extend the evidence. Third, the contamination guarantee</w:t>
      </w:r>
      <w:r>
        <w:t xml:space="preserve"> </w:t>
      </w:r>
      <w:r>
        <w:t xml:space="preserve">is structural (fresh per-run synthesis), validated by zero verbatim overlap and a controlled memorization study</w:t>
      </w:r>
      <w:r>
        <w:t xml:space="preserve"> </w:t>
      </w:r>
      <w:r>
        <w:t xml:space="preserve">(Section 5.3); verbatim n-gram overlap and membership-inference probes such as Min-K% [</w:t>
      </w:r>
      <w:hyperlink w:anchor="r36">
        <w:r>
          <w:rPr>
            <w:rStyle w:val="Hyperlink"/>
          </w:rPr>
          <w:t xml:space="preserve">36</w:t>
        </w:r>
      </w:hyperlink>
      <w:r>
        <w:t xml:space="preserve">]</w:t>
      </w:r>
      <w:r>
        <w:t xml:space="preserve"> </w:t>
      </w:r>
      <w:r>
        <w:t xml:space="preserve">answer complementary questions, the former whether an item is reproduced, the latter whether it was seen during</w:t>
      </w:r>
      <w:r>
        <w:t xml:space="preserve"> </w:t>
      </w:r>
      <w:r>
        <w:t xml:space="preserve">pretraining.</w:t>
      </w:r>
    </w:p>
    <w:bookmarkEnd w:id="37"/>
    <w:bookmarkStart w:id="38" w:name="ethics-statement"/>
    <w:p>
      <w:pPr>
        <w:pStyle w:val="Heading2"/>
        <w:keepNext/>
        <w:keepLines/>
        <w:widowControl w:val="1"/>
      </w:pPr>
      <w:r>
        <w:t xml:space="preserve">Ethics Statement</w:t>
      </w:r>
    </w:p>
    <w:p>
      <w:pPr>
        <w:pStyle w:val="FirstParagraph"/>
        <w:jc w:val="both"/>
        <w:keepNext w:val="0"/>
        <w:keepLines w:val="0"/>
        <w:widowControl w:val="1"/>
      </w:pPr>
      <w:r>
        <w:t xml:space="preserve">CoEval evaluates language models and involves no new human-subjects data collection. The human judgments used to</w:t>
      </w:r>
      <w:r>
        <w:t xml:space="preserve"> </w:t>
      </w:r>
      <w:r>
        <w:t xml:space="preserve">validate the judge (Section 5.1) come from existing public meta-evaluation benchmarks (SummEval, LLMBar) used</w:t>
      </w:r>
      <w:r>
        <w:t xml:space="preserve"> </w:t>
      </w:r>
      <w:r>
        <w:t xml:space="preserve">under their released licenses. The drug-interaction, clinical, and legal verticals (Section 5.4) are illustrations</w:t>
      </w:r>
      <w:r>
        <w:t xml:space="preserve"> </w:t>
      </w:r>
      <w:r>
        <w:t xml:space="preserve">of contamination-free benchmark generation, not validated decision-support systems, and should not be used for clinical</w:t>
      </w:r>
      <w:r>
        <w:t xml:space="preserve"> </w:t>
      </w:r>
      <w:r>
        <w:t xml:space="preserve">or legal decisions. Because CoEval generates evaluation items and scores them with language models, generated items and</w:t>
      </w:r>
      <w:r>
        <w:t xml:space="preserve"> </w:t>
      </w:r>
      <w:r>
        <w:t xml:space="preserve">rubrics can inherit model biases; the cross-family panel and the contamination checks mitigate but do not eliminate this</w:t>
      </w:r>
      <w:r>
        <w:t xml:space="preserve"> </w:t>
      </w:r>
      <w:r>
        <w:t xml:space="preserve">risk, and a practitioner applying CoEval in a high-stakes domain should pair it with human oversight.</w:t>
      </w:r>
    </w:p>
    <w:bookmarkEnd w:id="38"/>
    <w:bookmarkStart w:id="39" w:name="reproducibility"/>
    <w:p>
      <w:pPr>
        <w:pStyle w:val="Heading2"/>
        <w:keepNext/>
        <w:keepLines/>
        <w:widowControl w:val="1"/>
      </w:pPr>
      <w:r>
        <w:t xml:space="preserve">Reproducibility</w:t>
      </w:r>
    </w:p>
    <w:p>
      <w:pPr>
        <w:pStyle w:val="FirstParagraph"/>
        <w:jc w:val="both"/>
        <w:keepNext w:val="0"/>
        <w:keepLines w:val="0"/>
        <w:widowControl w:val="1"/>
      </w:pPr>
      <w:r>
        <w:t xml:space="preserve">Every experiment is driven by a declarative configuration file and is reproducible end to end. The framework, the</w:t>
      </w:r>
      <w:r>
        <w:t xml:space="preserve"> </w:t>
      </w:r>
      <w:r>
        <w:t xml:space="preserve">canonical prompt templates (Appendix C), the attribute and rubric specifications, the judge-panel definitions, and</w:t>
      </w:r>
      <w:r>
        <w:t xml:space="preserve"> </w:t>
      </w:r>
      <w:r>
        <w:t xml:space="preserve">the analysis code are released open-source, and the per-run scores and recovered rankings are recorded as artifacts. The</w:t>
      </w:r>
      <w:r>
        <w:t xml:space="preserve"> </w:t>
      </w:r>
      <w:r>
        <w:t xml:space="preserve">statistical estimators (ICC, bootstrap confidence intervals, the doubly-robust aggregator) are defined in</w:t>
      </w:r>
      <w:r>
        <w:t xml:space="preserve"> </w:t>
      </w:r>
      <w:r>
        <w:t xml:space="preserve">Appendix A.</w:t>
      </w:r>
    </w:p>
    <w:bookmarkEnd w:id="39"/>
    <w:bookmarkStart w:id="116" w:name="references"/>
    <w:p>
      <w:pPr>
        <w:pStyle w:val="ReferencesHeading"/>
        <w:jc w:val="left"/>
        <w:keepNext/>
        <w:keepLines/>
        <w:widowControl w:val="1"/>
      </w:pPr>
      <w:r>
        <w:t xml:space="preserve">References</w:t>
      </w:r>
    </w:p>
    <w:p>
      <w:pPr>
        <w:pStyle w:val="ReferenceEntry"/>
        <w:numPr>
          <w:ilvl w:val="0"/>
          <w:numId w:val="1002"/>
        </w:numPr>
        <w:spacing w:after="60"/>
        <w:ind w:left="360" w:hanging="259"/>
        <w:jc w:val="left"/>
        <w:keepNext w:val="0"/>
        <w:keepLines w:val="0"/>
        <w:widowControl w:val="1"/>
      </w:pPr>
      <w:r>
        <w:rPr>
          <w:rFonts w:ascii="Georgia" w:hAnsi="Georgia"/>
          <w:sz w:val="20"/>
        </w:rPr>
        <w:t xml:space="preserve">1. </w:t>
      </w:r>
      <w:bookmarkStart w:id="41"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0">
        <w:r>
          <w:rPr>
            <w:rStyle w:val="Hyperlink"/>
          </w:rPr>
          <w:t xml:space="preserve">arxiv.org/abs/2306.05685</w:t>
        </w:r>
      </w:hyperlink>
      <w:bookmarkEnd w:id="41"/>
    </w:p>
    <w:p>
      <w:pPr>
        <w:pStyle w:val="ReferenceEntry"/>
        <w:numPr>
          <w:ilvl w:val="0"/>
          <w:numId w:val="1002"/>
        </w:numPr>
        <w:spacing w:after="60"/>
        <w:ind w:left="360" w:hanging="259"/>
        <w:jc w:val="left"/>
        <w:keepNext w:val="0"/>
        <w:keepLines w:val="0"/>
        <w:widowControl w:val="1"/>
      </w:pPr>
      <w:r>
        <w:rPr>
          <w:rFonts w:ascii="Georgia" w:hAnsi="Georgia"/>
          <w:sz w:val="20"/>
        </w:rPr>
        <w:t xml:space="preserve">2. </w:t>
      </w:r>
      <w:bookmarkStart w:id="43"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2">
        <w:r>
          <w:rPr>
            <w:rStyle w:val="Hyperlink"/>
          </w:rPr>
          <w:t xml:space="preserve">arxiv.org/abs/2303.16634</w:t>
        </w:r>
      </w:hyperlink>
      <w:bookmarkEnd w:id="43"/>
    </w:p>
    <w:p>
      <w:pPr>
        <w:pStyle w:val="ReferenceEntry"/>
        <w:numPr>
          <w:ilvl w:val="0"/>
          <w:numId w:val="1002"/>
        </w:numPr>
        <w:spacing w:after="60"/>
        <w:ind w:left="360" w:hanging="259"/>
        <w:jc w:val="left"/>
        <w:keepNext w:val="0"/>
        <w:keepLines w:val="0"/>
        <w:widowControl w:val="1"/>
      </w:pPr>
      <w:r>
        <w:rPr>
          <w:rFonts w:ascii="Georgia" w:hAnsi="Georgia"/>
          <w:sz w:val="20"/>
        </w:rPr>
        <w:t xml:space="preserve">3. </w:t>
      </w:r>
      <w:bookmarkStart w:id="45"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4">
        <w:r>
          <w:rPr>
            <w:rStyle w:val="Hyperlink"/>
          </w:rPr>
          <w:t xml:space="preserve">arxiv.org/abs/2405.01535</w:t>
        </w:r>
      </w:hyperlink>
      <w:bookmarkEnd w:id="45"/>
    </w:p>
    <w:p>
      <w:pPr>
        <w:pStyle w:val="ReferenceEntry"/>
        <w:numPr>
          <w:ilvl w:val="0"/>
          <w:numId w:val="1002"/>
        </w:numPr>
        <w:spacing w:after="60"/>
        <w:ind w:left="360" w:hanging="259"/>
        <w:jc w:val="left"/>
        <w:keepNext w:val="0"/>
        <w:keepLines w:val="0"/>
        <w:widowControl w:val="1"/>
      </w:pPr>
      <w:r>
        <w:rPr>
          <w:rFonts w:ascii="Georgia" w:hAnsi="Georgia"/>
          <w:sz w:val="20"/>
        </w:rPr>
        <w:t xml:space="preserve">4. </w:t>
      </w:r>
      <w:bookmarkStart w:id="47"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46">
        <w:r>
          <w:rPr>
            <w:rStyle w:val="Hyperlink"/>
          </w:rPr>
          <w:t xml:space="preserve">arxiv.org/abs/2407.10817</w:t>
        </w:r>
      </w:hyperlink>
      <w:bookmarkEnd w:id="47"/>
    </w:p>
    <w:p>
      <w:pPr>
        <w:pStyle w:val="ReferenceEntry"/>
        <w:numPr>
          <w:ilvl w:val="0"/>
          <w:numId w:val="1002"/>
        </w:numPr>
        <w:spacing w:after="60"/>
        <w:ind w:left="360" w:hanging="259"/>
        <w:jc w:val="left"/>
        <w:keepNext w:val="0"/>
        <w:keepLines w:val="0"/>
        <w:widowControl w:val="1"/>
      </w:pPr>
      <w:r>
        <w:rPr>
          <w:rFonts w:ascii="Georgia" w:hAnsi="Georgia"/>
          <w:sz w:val="20"/>
        </w:rPr>
        <w:t xml:space="preserve">5. </w:t>
      </w:r>
      <w:bookmarkStart w:id="49"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48">
        <w:r>
          <w:rPr>
            <w:rStyle w:val="Hyperlink"/>
          </w:rPr>
          <w:t xml:space="preserve">arxiv.org/abs/2404.18796</w:t>
        </w:r>
      </w:hyperlink>
      <w:bookmarkEnd w:id="49"/>
    </w:p>
    <w:p>
      <w:pPr>
        <w:pStyle w:val="ReferenceEntry"/>
        <w:numPr>
          <w:ilvl w:val="0"/>
          <w:numId w:val="1002"/>
        </w:numPr>
        <w:spacing w:after="60"/>
        <w:ind w:left="360" w:hanging="259"/>
        <w:jc w:val="left"/>
        <w:keepNext w:val="0"/>
        <w:keepLines w:val="0"/>
        <w:widowControl w:val="1"/>
      </w:pPr>
      <w:r>
        <w:rPr>
          <w:rFonts w:ascii="Georgia" w:hAnsi="Georgia"/>
          <w:sz w:val="20"/>
        </w:rPr>
        <w:t xml:space="preserve">6. </w:t>
      </w:r>
      <w:bookmarkStart w:id="51"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0">
        <w:r>
          <w:rPr>
            <w:rStyle w:val="Hyperlink"/>
          </w:rPr>
          <w:t xml:space="preserve">arxiv.org/abs/2410.12784</w:t>
        </w:r>
      </w:hyperlink>
      <w:bookmarkEnd w:id="51"/>
    </w:p>
    <w:p>
      <w:pPr>
        <w:pStyle w:val="ReferenceEntry"/>
        <w:numPr>
          <w:ilvl w:val="0"/>
          <w:numId w:val="1002"/>
        </w:numPr>
        <w:spacing w:after="60"/>
        <w:ind w:left="360" w:hanging="259"/>
        <w:jc w:val="left"/>
        <w:keepNext w:val="0"/>
        <w:keepLines w:val="0"/>
        <w:widowControl w:val="1"/>
      </w:pPr>
      <w:r>
        <w:rPr>
          <w:rFonts w:ascii="Georgia" w:hAnsi="Georgia"/>
          <w:sz w:val="20"/>
        </w:rPr>
        <w:t xml:space="preserve">7. </w:t>
      </w:r>
      <w:bookmarkStart w:id="53"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2">
        <w:r>
          <w:rPr>
            <w:rStyle w:val="Hyperlink"/>
          </w:rPr>
          <w:t xml:space="preserve">arxiv.org/abs/2406.05761</w:t>
        </w:r>
      </w:hyperlink>
      <w:bookmarkEnd w:id="53"/>
    </w:p>
    <w:p>
      <w:pPr>
        <w:pStyle w:val="ReferenceEntry"/>
        <w:numPr>
          <w:ilvl w:val="0"/>
          <w:numId w:val="1002"/>
        </w:numPr>
        <w:spacing w:after="60"/>
        <w:ind w:left="360" w:hanging="259"/>
        <w:jc w:val="left"/>
        <w:keepNext w:val="0"/>
        <w:keepLines w:val="0"/>
        <w:widowControl w:val="1"/>
      </w:pPr>
      <w:r>
        <w:rPr>
          <w:rFonts w:ascii="Georgia" w:hAnsi="Georgia"/>
          <w:sz w:val="20"/>
        </w:rPr>
        <w:t xml:space="preserve">8. </w:t>
      </w:r>
      <w:bookmarkStart w:id="55"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4">
        <w:r>
          <w:rPr>
            <w:rStyle w:val="Hyperlink"/>
          </w:rPr>
          <w:t xml:space="preserve">arxiv.org/abs/2404.04475</w:t>
        </w:r>
      </w:hyperlink>
      <w:bookmarkEnd w:id="55"/>
    </w:p>
    <w:p>
      <w:pPr>
        <w:pStyle w:val="ReferenceEntry"/>
        <w:numPr>
          <w:ilvl w:val="0"/>
          <w:numId w:val="1002"/>
        </w:numPr>
        <w:spacing w:after="60"/>
        <w:ind w:left="360" w:hanging="259"/>
        <w:jc w:val="left"/>
        <w:keepNext w:val="0"/>
        <w:keepLines w:val="0"/>
        <w:widowControl w:val="1"/>
      </w:pPr>
      <w:r>
        <w:rPr>
          <w:rFonts w:ascii="Georgia" w:hAnsi="Georgia"/>
          <w:sz w:val="20"/>
        </w:rPr>
        <w:t xml:space="preserve">9. </w:t>
      </w:r>
      <w:bookmarkStart w:id="57" w:name="r9"/>
      <w:r>
        <w:t xml:space="preserve">Li, X. L., Kazemi, M., et al. (2024).</w:t>
      </w:r>
      <w:r>
        <w:t xml:space="preserve"> </w:t>
      </w:r>
      <w:r>
        <w:rPr>
          <w:i/>
          <w:iCs/>
        </w:rPr>
        <w:t xml:space="preserve">AutoBencher: Towards Declarative Benchmark Construction.</w:t>
      </w:r>
      <w:r>
        <w:t xml:space="preserve"> </w:t>
      </w:r>
      <w:hyperlink r:id="rId56">
        <w:r>
          <w:rPr>
            <w:rStyle w:val="Hyperlink"/>
          </w:rPr>
          <w:t xml:space="preserve">arxiv.org/abs/2407.08351</w:t>
        </w:r>
      </w:hyperlink>
      <w:bookmarkEnd w:id="57"/>
    </w:p>
    <w:p>
      <w:pPr>
        <w:pStyle w:val="ReferenceEntry"/>
        <w:numPr>
          <w:ilvl w:val="0"/>
          <w:numId w:val="1002"/>
        </w:numPr>
        <w:spacing w:after="60"/>
        <w:ind w:left="360" w:hanging="259"/>
        <w:jc w:val="left"/>
        <w:keepNext w:val="0"/>
        <w:keepLines w:val="0"/>
        <w:widowControl w:val="1"/>
      </w:pPr>
      <w:r>
        <w:rPr>
          <w:rFonts w:ascii="Georgia" w:hAnsi="Georgia"/>
          <w:sz w:val="20"/>
        </w:rPr>
        <w:t xml:space="preserve">10. </w:t>
      </w:r>
      <w:bookmarkStart w:id="59"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58">
        <w:r>
          <w:rPr>
            <w:rStyle w:val="Hyperlink"/>
          </w:rPr>
          <w:t xml:space="preserve">arxiv.org/abs/2410.22584</w:t>
        </w:r>
      </w:hyperlink>
      <w:bookmarkEnd w:id="59"/>
    </w:p>
    <w:p>
      <w:pPr>
        <w:pStyle w:val="ReferenceEntry"/>
        <w:numPr>
          <w:ilvl w:val="0"/>
          <w:numId w:val="1002"/>
        </w:numPr>
        <w:spacing w:after="60"/>
        <w:ind w:left="360" w:hanging="259"/>
        <w:jc w:val="left"/>
        <w:keepNext w:val="0"/>
        <w:keepLines w:val="0"/>
        <w:widowControl w:val="1"/>
      </w:pPr>
      <w:r>
        <w:rPr>
          <w:rFonts w:ascii="Georgia" w:hAnsi="Georgia"/>
          <w:sz w:val="20"/>
        </w:rPr>
        <w:t xml:space="preserve">11. </w:t>
      </w:r>
      <w:bookmarkStart w:id="61" w:name="r11"/>
      <w:r>
        <w:t xml:space="preserve">Shashidhar, S., et al. (2025).</w:t>
      </w:r>
      <w:r>
        <w:t xml:space="preserve"> </w:t>
      </w:r>
      <w:r>
        <w:rPr>
          <w:i/>
          <w:iCs/>
        </w:rPr>
        <w:t xml:space="preserve">YourBench: Easy Custom Evaluation Sets for Everyone.</w:t>
      </w:r>
      <w:r>
        <w:t xml:space="preserve"> </w:t>
      </w:r>
      <w:hyperlink r:id="rId60">
        <w:r>
          <w:rPr>
            <w:rStyle w:val="Hyperlink"/>
          </w:rPr>
          <w:t xml:space="preserve">arxiv.org/abs/2504.01833</w:t>
        </w:r>
      </w:hyperlink>
      <w:bookmarkEnd w:id="61"/>
    </w:p>
    <w:p>
      <w:pPr>
        <w:pStyle w:val="ReferenceEntry"/>
        <w:numPr>
          <w:ilvl w:val="0"/>
          <w:numId w:val="1002"/>
        </w:numPr>
        <w:spacing w:after="60"/>
        <w:ind w:left="360" w:hanging="259"/>
        <w:jc w:val="left"/>
        <w:keepNext w:val="0"/>
        <w:keepLines w:val="0"/>
        <w:widowControl w:val="1"/>
      </w:pPr>
      <w:r>
        <w:rPr>
          <w:rFonts w:ascii="Georgia" w:hAnsi="Georgia"/>
          <w:sz w:val="20"/>
        </w:rPr>
        <w:t xml:space="preserve">12. </w:t>
      </w:r>
      <w:bookmarkStart w:id="63"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2">
        <w:r>
          <w:rPr>
            <w:rStyle w:val="Hyperlink"/>
          </w:rPr>
          <w:t xml:space="preserve">arxiv.org/abs/2405.00332</w:t>
        </w:r>
      </w:hyperlink>
      <w:bookmarkEnd w:id="63"/>
    </w:p>
    <w:p>
      <w:pPr>
        <w:pStyle w:val="ReferenceEntry"/>
        <w:numPr>
          <w:ilvl w:val="0"/>
          <w:numId w:val="1002"/>
        </w:numPr>
        <w:spacing w:after="60"/>
        <w:ind w:left="360" w:hanging="259"/>
        <w:jc w:val="left"/>
        <w:keepNext w:val="0"/>
        <w:keepLines w:val="0"/>
        <w:widowControl w:val="1"/>
      </w:pPr>
      <w:r>
        <w:rPr>
          <w:rFonts w:ascii="Georgia" w:hAnsi="Georgia"/>
          <w:sz w:val="20"/>
        </w:rPr>
        <w:t xml:space="preserve">13. </w:t>
      </w:r>
      <w:bookmarkStart w:id="65" w:name="r13"/>
      <w:r>
        <w:t xml:space="preserve">Xu, C., et al. (2025).</w:t>
      </w:r>
      <w:r>
        <w:t xml:space="preserve"> </w:t>
      </w:r>
      <w:r>
        <w:rPr>
          <w:i/>
          <w:iCs/>
        </w:rPr>
        <w:t xml:space="preserve">Benchmark Data Contamination of Large Language Models: A Survey.</w:t>
      </w:r>
      <w:r>
        <w:t xml:space="preserve"> </w:t>
      </w:r>
      <w:hyperlink r:id="rId64">
        <w:r>
          <w:rPr>
            <w:rStyle w:val="Hyperlink"/>
          </w:rPr>
          <w:t xml:space="preserve">arxiv.org/abs/2502.14425</w:t>
        </w:r>
      </w:hyperlink>
      <w:bookmarkEnd w:id="65"/>
    </w:p>
    <w:p>
      <w:pPr>
        <w:pStyle w:val="ReferenceEntry"/>
        <w:numPr>
          <w:ilvl w:val="0"/>
          <w:numId w:val="1002"/>
        </w:numPr>
        <w:spacing w:after="60"/>
        <w:ind w:left="360" w:hanging="259"/>
        <w:jc w:val="left"/>
        <w:keepNext w:val="0"/>
        <w:keepLines w:val="0"/>
        <w:widowControl w:val="1"/>
      </w:pPr>
      <w:r>
        <w:rPr>
          <w:rFonts w:ascii="Georgia" w:hAnsi="Georgia"/>
          <w:sz w:val="20"/>
        </w:rPr>
        <w:t xml:space="preserve">14. </w:t>
      </w:r>
      <w:bookmarkStart w:id="67"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66">
        <w:r>
          <w:rPr>
            <w:rStyle w:val="Hyperlink"/>
          </w:rPr>
          <w:t xml:space="preserve">arxiv.org/abs/2104.14337</w:t>
        </w:r>
      </w:hyperlink>
      <w:bookmarkEnd w:id="67"/>
    </w:p>
    <w:p>
      <w:pPr>
        <w:pStyle w:val="ReferenceEntry"/>
        <w:numPr>
          <w:ilvl w:val="0"/>
          <w:numId w:val="1002"/>
        </w:numPr>
        <w:spacing w:after="60"/>
        <w:ind w:left="360" w:hanging="259"/>
        <w:jc w:val="left"/>
        <w:keepNext w:val="0"/>
        <w:keepLines w:val="0"/>
        <w:widowControl w:val="1"/>
      </w:pPr>
      <w:r>
        <w:rPr>
          <w:rFonts w:ascii="Georgia" w:hAnsi="Georgia"/>
          <w:sz w:val="20"/>
        </w:rPr>
        <w:t xml:space="preserve">15. </w:t>
      </w:r>
      <w:bookmarkStart w:id="69"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68">
        <w:r>
          <w:rPr>
            <w:rStyle w:val="Hyperlink"/>
          </w:rPr>
          <w:t xml:space="preserve">arxiv.org/abs/2502.01534</w:t>
        </w:r>
      </w:hyperlink>
      <w:bookmarkEnd w:id="69"/>
    </w:p>
    <w:p>
      <w:pPr>
        <w:pStyle w:val="ReferenceEntry"/>
        <w:numPr>
          <w:ilvl w:val="0"/>
          <w:numId w:val="1002"/>
        </w:numPr>
        <w:spacing w:after="60"/>
        <w:ind w:left="360" w:hanging="259"/>
        <w:jc w:val="left"/>
        <w:keepNext w:val="0"/>
        <w:keepLines w:val="0"/>
        <w:widowControl w:val="1"/>
      </w:pPr>
      <w:r>
        <w:rPr>
          <w:rFonts w:ascii="Georgia" w:hAnsi="Georgia"/>
          <w:sz w:val="20"/>
        </w:rPr>
        <w:t xml:space="preserve">16. </w:t>
      </w:r>
      <w:bookmarkStart w:id="71"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0">
        <w:r>
          <w:rPr>
            <w:rStyle w:val="Hyperlink"/>
          </w:rPr>
          <w:t xml:space="preserve">arxiv.org/abs/2508.06709</w:t>
        </w:r>
      </w:hyperlink>
      <w:bookmarkEnd w:id="71"/>
    </w:p>
    <w:p>
      <w:pPr>
        <w:pStyle w:val="ReferenceEntry"/>
        <w:numPr>
          <w:ilvl w:val="0"/>
          <w:numId w:val="1002"/>
        </w:numPr>
        <w:spacing w:after="60"/>
        <w:ind w:left="360" w:hanging="259"/>
        <w:jc w:val="left"/>
        <w:keepNext w:val="0"/>
        <w:keepLines w:val="0"/>
        <w:widowControl w:val="1"/>
      </w:pPr>
      <w:r>
        <w:rPr>
          <w:rFonts w:ascii="Georgia" w:hAnsi="Georgia"/>
          <w:sz w:val="20"/>
        </w:rPr>
        <w:t xml:space="preserve">17. </w:t>
      </w:r>
      <w:bookmarkStart w:id="73"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2">
        <w:r>
          <w:rPr>
            <w:rStyle w:val="Hyperlink"/>
          </w:rPr>
          <w:t xml:space="preserve">arxiv.org/abs/2410.02736</w:t>
        </w:r>
      </w:hyperlink>
      <w:bookmarkEnd w:id="73"/>
    </w:p>
    <w:p>
      <w:pPr>
        <w:pStyle w:val="ReferenceEntry"/>
        <w:numPr>
          <w:ilvl w:val="0"/>
          <w:numId w:val="1002"/>
        </w:numPr>
        <w:spacing w:after="60"/>
        <w:ind w:left="360" w:hanging="259"/>
        <w:jc w:val="left"/>
        <w:keepNext w:val="0"/>
        <w:keepLines w:val="0"/>
        <w:widowControl w:val="1"/>
      </w:pPr>
      <w:r>
        <w:rPr>
          <w:rFonts w:ascii="Georgia" w:hAnsi="Georgia"/>
          <w:sz w:val="20"/>
        </w:rPr>
        <w:t xml:space="preserve">18. </w:t>
      </w:r>
      <w:bookmarkStart w:id="75" w:name="r18"/>
      <w:r>
        <w:t xml:space="preserve">Wataoka, K., Takahashi, T., Ri, R. (2024).</w:t>
      </w:r>
      <w:r>
        <w:t xml:space="preserve"> </w:t>
      </w:r>
      <w:r>
        <w:rPr>
          <w:i/>
          <w:iCs/>
        </w:rPr>
        <w:t xml:space="preserve">Self-Preference Bias in LLM-as-a-Judge.</w:t>
      </w:r>
      <w:r>
        <w:t xml:space="preserve"> </w:t>
      </w:r>
      <w:hyperlink r:id="rId74">
        <w:r>
          <w:rPr>
            <w:rStyle w:val="Hyperlink"/>
          </w:rPr>
          <w:t xml:space="preserve">arxiv.org/abs/2410.21819</w:t>
        </w:r>
      </w:hyperlink>
      <w:bookmarkEnd w:id="75"/>
    </w:p>
    <w:p>
      <w:pPr>
        <w:pStyle w:val="ReferenceEntry"/>
        <w:numPr>
          <w:ilvl w:val="0"/>
          <w:numId w:val="1002"/>
        </w:numPr>
        <w:spacing w:after="60"/>
        <w:ind w:left="360" w:hanging="259"/>
        <w:jc w:val="left"/>
        <w:keepNext w:val="0"/>
        <w:keepLines w:val="0"/>
        <w:widowControl w:val="1"/>
      </w:pPr>
      <w:r>
        <w:rPr>
          <w:rFonts w:ascii="Georgia" w:hAnsi="Georgia"/>
          <w:sz w:val="20"/>
        </w:rPr>
        <w:t xml:space="preserve">19. </w:t>
      </w:r>
      <w:bookmarkStart w:id="77" w:name="r19"/>
      <w:r>
        <w:t xml:space="preserve">Gu, J., Jiang, X., Shi, Z., et al. (2024).</w:t>
      </w:r>
      <w:r>
        <w:t xml:space="preserve"> </w:t>
      </w:r>
      <w:r>
        <w:rPr>
          <w:i/>
          <w:iCs/>
        </w:rPr>
        <w:t xml:space="preserve">A Survey on LLM-as-a-Judge.</w:t>
      </w:r>
      <w:r>
        <w:t xml:space="preserve"> </w:t>
      </w:r>
      <w:hyperlink r:id="rId76">
        <w:r>
          <w:rPr>
            <w:rStyle w:val="Hyperlink"/>
          </w:rPr>
          <w:t xml:space="preserve">arxiv.org/abs/2411.15594</w:t>
        </w:r>
      </w:hyperlink>
      <w:bookmarkEnd w:id="77"/>
    </w:p>
    <w:p>
      <w:pPr>
        <w:pStyle w:val="ReferenceEntry"/>
        <w:numPr>
          <w:ilvl w:val="0"/>
          <w:numId w:val="1002"/>
        </w:numPr>
        <w:spacing w:after="60"/>
        <w:ind w:left="360" w:hanging="259"/>
        <w:jc w:val="left"/>
        <w:keepNext w:val="0"/>
        <w:keepLines w:val="0"/>
        <w:widowControl w:val="1"/>
      </w:pPr>
      <w:r>
        <w:rPr>
          <w:rFonts w:ascii="Georgia" w:hAnsi="Georgia"/>
          <w:sz w:val="20"/>
        </w:rPr>
        <w:t xml:space="preserve">20. </w:t>
      </w:r>
      <w:bookmarkStart w:id="79"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78">
        <w:r>
          <w:rPr>
            <w:rStyle w:val="Hyperlink"/>
          </w:rPr>
          <w:t xml:space="preserve">arxiv.org/abs/2411.16594</w:t>
        </w:r>
      </w:hyperlink>
      <w:bookmarkEnd w:id="79"/>
    </w:p>
    <w:p>
      <w:pPr>
        <w:pStyle w:val="ReferenceEntry"/>
        <w:numPr>
          <w:ilvl w:val="0"/>
          <w:numId w:val="1002"/>
        </w:numPr>
        <w:spacing w:after="60"/>
        <w:ind w:left="360" w:hanging="259"/>
        <w:jc w:val="left"/>
        <w:keepNext w:val="0"/>
        <w:keepLines w:val="0"/>
        <w:widowControl w:val="1"/>
      </w:pPr>
      <w:r>
        <w:rPr>
          <w:rFonts w:ascii="Georgia" w:hAnsi="Georgia"/>
          <w:sz w:val="20"/>
        </w:rPr>
        <w:t xml:space="preserve">21. </w:t>
      </w:r>
      <w:bookmarkStart w:id="81"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0">
        <w:r>
          <w:rPr>
            <w:rStyle w:val="Hyperlink"/>
          </w:rPr>
          <w:t xml:space="preserve">arxiv.org/abs/2308.07201</w:t>
        </w:r>
      </w:hyperlink>
      <w:bookmarkEnd w:id="81"/>
    </w:p>
    <w:p>
      <w:pPr>
        <w:pStyle w:val="ReferenceEntry"/>
        <w:numPr>
          <w:ilvl w:val="0"/>
          <w:numId w:val="1002"/>
        </w:numPr>
        <w:spacing w:after="60"/>
        <w:ind w:left="360" w:hanging="259"/>
        <w:jc w:val="left"/>
        <w:keepNext w:val="0"/>
        <w:keepLines w:val="0"/>
        <w:widowControl w:val="1"/>
      </w:pPr>
      <w:r>
        <w:rPr>
          <w:rFonts w:ascii="Georgia" w:hAnsi="Georgia"/>
          <w:sz w:val="20"/>
        </w:rPr>
        <w:t xml:space="preserve">22. </w:t>
      </w:r>
      <w:bookmarkStart w:id="83"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2">
        <w:r>
          <w:rPr>
            <w:rStyle w:val="Hyperlink"/>
          </w:rPr>
          <w:t xml:space="preserve">arxiv.org/abs/2406.19314</w:t>
        </w:r>
      </w:hyperlink>
      <w:bookmarkEnd w:id="83"/>
    </w:p>
    <w:p>
      <w:pPr>
        <w:pStyle w:val="ReferenceEntry"/>
        <w:numPr>
          <w:ilvl w:val="0"/>
          <w:numId w:val="1002"/>
        </w:numPr>
        <w:spacing w:after="60"/>
        <w:ind w:left="360" w:hanging="259"/>
        <w:jc w:val="left"/>
        <w:keepNext w:val="0"/>
        <w:keepLines w:val="0"/>
        <w:widowControl w:val="1"/>
      </w:pPr>
      <w:r>
        <w:rPr>
          <w:rFonts w:ascii="Georgia" w:hAnsi="Georgia"/>
          <w:sz w:val="20"/>
        </w:rPr>
        <w:t xml:space="preserve">23. </w:t>
      </w:r>
      <w:bookmarkStart w:id="85"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4">
        <w:r>
          <w:rPr>
            <w:rStyle w:val="Hyperlink"/>
          </w:rPr>
          <w:t xml:space="preserve">arxiv.org/abs/2403.07974</w:t>
        </w:r>
      </w:hyperlink>
      <w:bookmarkEnd w:id="85"/>
    </w:p>
    <w:p>
      <w:pPr>
        <w:pStyle w:val="ReferenceEntry"/>
        <w:numPr>
          <w:ilvl w:val="0"/>
          <w:numId w:val="1002"/>
        </w:numPr>
        <w:spacing w:after="60"/>
        <w:ind w:left="360" w:hanging="259"/>
        <w:jc w:val="left"/>
        <w:keepNext w:val="0"/>
        <w:keepLines w:val="0"/>
        <w:widowControl w:val="1"/>
      </w:pPr>
      <w:r>
        <w:rPr>
          <w:rFonts w:ascii="Georgia" w:hAnsi="Georgia"/>
          <w:sz w:val="20"/>
        </w:rPr>
        <w:t xml:space="preserve">24. </w:t>
      </w:r>
      <w:bookmarkStart w:id="87"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86">
        <w:r>
          <w:rPr>
            <w:rStyle w:val="Hyperlink"/>
          </w:rPr>
          <w:t xml:space="preserve">arxiv.org/abs/2504.03846</w:t>
        </w:r>
      </w:hyperlink>
      <w:bookmarkEnd w:id="87"/>
    </w:p>
    <w:p>
      <w:pPr>
        <w:pStyle w:val="ReferenceEntry"/>
        <w:numPr>
          <w:ilvl w:val="0"/>
          <w:numId w:val="1002"/>
        </w:numPr>
        <w:spacing w:after="60"/>
        <w:ind w:left="360" w:hanging="259"/>
        <w:jc w:val="left"/>
        <w:keepNext w:val="0"/>
        <w:keepLines w:val="0"/>
        <w:widowControl w:val="1"/>
      </w:pPr>
      <w:r>
        <w:rPr>
          <w:rFonts w:ascii="Georgia" w:hAnsi="Georgia"/>
          <w:sz w:val="20"/>
        </w:rPr>
        <w:t xml:space="preserve">25. </w:t>
      </w:r>
      <w:bookmarkStart w:id="89"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88">
        <w:r>
          <w:rPr>
            <w:rStyle w:val="Hyperlink"/>
          </w:rPr>
          <w:t xml:space="preserve">arxiv.org/abs/2408.08808</w:t>
        </w:r>
      </w:hyperlink>
      <w:bookmarkEnd w:id="89"/>
    </w:p>
    <w:p>
      <w:pPr>
        <w:pStyle w:val="ReferenceEntry"/>
        <w:numPr>
          <w:ilvl w:val="0"/>
          <w:numId w:val="1002"/>
        </w:numPr>
        <w:spacing w:after="60"/>
        <w:ind w:left="360" w:hanging="259"/>
        <w:jc w:val="left"/>
        <w:keepNext w:val="0"/>
        <w:keepLines w:val="0"/>
        <w:widowControl w:val="1"/>
      </w:pPr>
      <w:r>
        <w:rPr>
          <w:rFonts w:ascii="Georgia" w:hAnsi="Georgia"/>
          <w:sz w:val="20"/>
        </w:rPr>
        <w:t xml:space="preserve">26. </w:t>
      </w:r>
      <w:bookmarkStart w:id="91" w:name="r26"/>
      <w:r>
        <w:t xml:space="preserve">Li, Y., et al. (2025).</w:t>
      </w:r>
      <w:r>
        <w:t xml:space="preserve"> </w:t>
      </w:r>
      <w:r>
        <w:rPr>
          <w:i/>
          <w:iCs/>
        </w:rPr>
        <w:t xml:space="preserve">Leveraging LLMs as Meta-Judges: A Multi-Agent Framework.</w:t>
      </w:r>
      <w:r>
        <w:t xml:space="preserve"> </w:t>
      </w:r>
      <w:hyperlink r:id="rId90">
        <w:r>
          <w:rPr>
            <w:rStyle w:val="Hyperlink"/>
          </w:rPr>
          <w:t xml:space="preserve">arxiv.org/abs/2504.17087</w:t>
        </w:r>
      </w:hyperlink>
      <w:bookmarkEnd w:id="91"/>
    </w:p>
    <w:p>
      <w:pPr>
        <w:pStyle w:val="ReferenceEntry"/>
        <w:numPr>
          <w:ilvl w:val="0"/>
          <w:numId w:val="1002"/>
        </w:numPr>
        <w:spacing w:after="60"/>
        <w:ind w:left="360" w:hanging="259"/>
        <w:jc w:val="left"/>
        <w:keepNext w:val="0"/>
        <w:keepLines w:val="0"/>
        <w:widowControl w:val="1"/>
      </w:pPr>
      <w:r>
        <w:rPr>
          <w:rFonts w:ascii="Georgia" w:hAnsi="Georgia"/>
          <w:sz w:val="20"/>
        </w:rPr>
        <w:t xml:space="preserve">27. </w:t>
      </w:r>
      <w:bookmarkStart w:id="93"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2">
        <w:r>
          <w:rPr>
            <w:rStyle w:val="Hyperlink"/>
          </w:rPr>
          <w:t xml:space="preserve">arxiv.org/abs/2602.16610</w:t>
        </w:r>
      </w:hyperlink>
      <w:bookmarkEnd w:id="93"/>
    </w:p>
    <w:p>
      <w:pPr>
        <w:pStyle w:val="ReferenceEntry"/>
        <w:numPr>
          <w:ilvl w:val="0"/>
          <w:numId w:val="1002"/>
        </w:numPr>
        <w:spacing w:after="60"/>
        <w:ind w:left="360" w:hanging="259"/>
        <w:jc w:val="left"/>
        <w:keepNext w:val="0"/>
        <w:keepLines w:val="0"/>
        <w:widowControl w:val="1"/>
      </w:pPr>
      <w:r>
        <w:rPr>
          <w:rFonts w:ascii="Georgia" w:hAnsi="Georgia"/>
          <w:sz w:val="20"/>
        </w:rPr>
        <w:t xml:space="preserve">28. </w:t>
      </w:r>
      <w:bookmarkStart w:id="95"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4">
        <w:r>
          <w:rPr>
            <w:rStyle w:val="Hyperlink"/>
          </w:rPr>
          <w:t xml:space="preserve">arxiv.org/abs/2603.00039</w:t>
        </w:r>
      </w:hyperlink>
      <w:bookmarkEnd w:id="95"/>
    </w:p>
    <w:p>
      <w:pPr>
        <w:pStyle w:val="ReferenceEntry"/>
        <w:numPr>
          <w:ilvl w:val="0"/>
          <w:numId w:val="1002"/>
        </w:numPr>
        <w:spacing w:after="60"/>
        <w:ind w:left="360" w:hanging="259"/>
        <w:jc w:val="left"/>
        <w:keepNext w:val="0"/>
        <w:keepLines w:val="0"/>
        <w:widowControl w:val="1"/>
      </w:pPr>
      <w:r>
        <w:rPr>
          <w:rFonts w:ascii="Georgia" w:hAnsi="Georgia"/>
          <w:sz w:val="20"/>
        </w:rPr>
        <w:t xml:space="preserve">29. </w:t>
      </w:r>
      <w:bookmarkStart w:id="97"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96">
        <w:r>
          <w:rPr>
            <w:rStyle w:val="Hyperlink"/>
          </w:rPr>
          <w:t xml:space="preserve">arxiv.org/abs/2601.21817</w:t>
        </w:r>
      </w:hyperlink>
      <w:bookmarkEnd w:id="97"/>
    </w:p>
    <w:p>
      <w:pPr>
        <w:pStyle w:val="ReferenceEntry"/>
        <w:numPr>
          <w:ilvl w:val="0"/>
          <w:numId w:val="1002"/>
        </w:numPr>
        <w:spacing w:after="60"/>
        <w:ind w:left="360" w:hanging="259"/>
        <w:jc w:val="left"/>
        <w:keepNext w:val="0"/>
        <w:keepLines w:val="0"/>
        <w:widowControl w:val="1"/>
      </w:pPr>
      <w:r>
        <w:rPr>
          <w:rFonts w:ascii="Georgia" w:hAnsi="Georgia"/>
          <w:sz w:val="20"/>
        </w:rPr>
        <w:t xml:space="preserve">30. </w:t>
      </w:r>
      <w:bookmarkStart w:id="99"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98">
        <w:r>
          <w:rPr>
            <w:rStyle w:val="Hyperlink"/>
          </w:rPr>
          <w:t xml:space="preserve">arxiv.org/abs/2502.14678</w:t>
        </w:r>
      </w:hyperlink>
      <w:bookmarkEnd w:id="99"/>
    </w:p>
    <w:p>
      <w:pPr>
        <w:pStyle w:val="ReferenceEntry"/>
        <w:numPr>
          <w:ilvl w:val="0"/>
          <w:numId w:val="1002"/>
        </w:numPr>
        <w:spacing w:after="60"/>
        <w:ind w:left="360" w:hanging="259"/>
        <w:jc w:val="left"/>
        <w:keepNext w:val="0"/>
        <w:keepLines w:val="0"/>
        <w:widowControl w:val="1"/>
      </w:pPr>
      <w:r>
        <w:rPr>
          <w:rFonts w:ascii="Georgia" w:hAnsi="Georgia"/>
          <w:sz w:val="20"/>
        </w:rPr>
        <w:t xml:space="preserve">31. </w:t>
      </w:r>
      <w:bookmarkStart w:id="101"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0">
        <w:r>
          <w:rPr>
            <w:rStyle w:val="Hyperlink"/>
          </w:rPr>
          <w:t xml:space="preserve">arxiv.org/abs/2501.12789</w:t>
        </w:r>
      </w:hyperlink>
      <w:bookmarkEnd w:id="101"/>
    </w:p>
    <w:p>
      <w:pPr>
        <w:pStyle w:val="ReferenceEntry"/>
        <w:numPr>
          <w:ilvl w:val="0"/>
          <w:numId w:val="1002"/>
        </w:numPr>
        <w:spacing w:after="60"/>
        <w:ind w:left="360" w:hanging="259"/>
        <w:jc w:val="left"/>
        <w:keepNext w:val="0"/>
        <w:keepLines w:val="0"/>
        <w:widowControl w:val="1"/>
      </w:pPr>
      <w:r>
        <w:rPr>
          <w:rFonts w:ascii="Georgia" w:hAnsi="Georgia"/>
          <w:sz w:val="20"/>
        </w:rPr>
        <w:t xml:space="preserve">32. </w:t>
      </w:r>
      <w:bookmarkStart w:id="103"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2">
        <w:r>
          <w:rPr>
            <w:rStyle w:val="Hyperlink"/>
          </w:rPr>
          <w:t xml:space="preserve">arxiv.org/abs/2502.17521</w:t>
        </w:r>
      </w:hyperlink>
      <w:bookmarkEnd w:id="103"/>
    </w:p>
    <w:p>
      <w:pPr>
        <w:pStyle w:val="ReferenceEntry"/>
        <w:numPr>
          <w:ilvl w:val="0"/>
          <w:numId w:val="1002"/>
        </w:numPr>
        <w:spacing w:after="60"/>
        <w:ind w:left="360" w:hanging="259"/>
        <w:jc w:val="left"/>
        <w:keepNext w:val="0"/>
        <w:keepLines w:val="0"/>
        <w:widowControl w:val="1"/>
      </w:pPr>
      <w:r>
        <w:rPr>
          <w:rFonts w:ascii="Georgia" w:hAnsi="Georgia"/>
          <w:sz w:val="20"/>
        </w:rPr>
        <w:t xml:space="preserve">33. </w:t>
      </w:r>
      <w:bookmarkStart w:id="105"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04">
        <w:r>
          <w:rPr>
            <w:rStyle w:val="Hyperlink"/>
          </w:rPr>
          <w:t xml:space="preserve">doi.org/10.2307/2346806</w:t>
        </w:r>
      </w:hyperlink>
      <w:bookmarkEnd w:id="105"/>
    </w:p>
    <w:p>
      <w:pPr>
        <w:pStyle w:val="ReferenceEntry"/>
        <w:numPr>
          <w:ilvl w:val="0"/>
          <w:numId w:val="1002"/>
        </w:numPr>
        <w:spacing w:after="60"/>
        <w:ind w:left="360" w:hanging="259"/>
        <w:jc w:val="left"/>
        <w:keepNext w:val="0"/>
        <w:keepLines w:val="0"/>
        <w:widowControl w:val="1"/>
      </w:pPr>
      <w:r>
        <w:rPr>
          <w:rFonts w:ascii="Georgia" w:hAnsi="Georgia"/>
          <w:sz w:val="20"/>
        </w:rPr>
        <w:t xml:space="preserve">34. </w:t>
      </w:r>
      <w:bookmarkStart w:id="107" w:name="r34"/>
      <w:r>
        <w:t xml:space="preserve">Wang, Y., Yu, Z., Zeng, Z., et al. (2024).</w:t>
      </w:r>
      <w:r>
        <w:t xml:space="preserve"> </w:t>
      </w:r>
      <w:r>
        <w:rPr>
          <w:i/>
          <w:iCs/>
        </w:rPr>
        <w:t xml:space="preserve">PandaLM: An Automatic Evaluation Benchmark for LLM</w:t>
      </w:r>
      <w:r>
        <w:rPr>
          <w:i/>
          <w:iCs/>
        </w:rPr>
        <w:t xml:space="preserve"> </w:t>
      </w:r>
      <w:r>
        <w:rPr>
          <w:i/>
          <w:iCs/>
        </w:rPr>
        <w:t xml:space="preserve">Instruction Tuning Optimization.</w:t>
      </w:r>
      <w:r>
        <w:t xml:space="preserve"> </w:t>
      </w:r>
      <w:r>
        <w:t xml:space="preserve">ICLR.</w:t>
      </w:r>
      <w:r>
        <w:t xml:space="preserve"> </w:t>
      </w:r>
      <w:hyperlink r:id="rId106">
        <w:r>
          <w:rPr>
            <w:rStyle w:val="Hyperlink"/>
          </w:rPr>
          <w:t xml:space="preserve">arxiv.org/abs/2306.05087</w:t>
        </w:r>
      </w:hyperlink>
      <w:bookmarkEnd w:id="107"/>
    </w:p>
    <w:p>
      <w:pPr>
        <w:pStyle w:val="ReferenceEntry"/>
        <w:numPr>
          <w:ilvl w:val="0"/>
          <w:numId w:val="1002"/>
        </w:numPr>
        <w:spacing w:after="60"/>
        <w:ind w:left="360" w:hanging="259"/>
        <w:jc w:val="left"/>
        <w:keepNext w:val="0"/>
        <w:keepLines w:val="0"/>
        <w:widowControl w:val="1"/>
      </w:pPr>
      <w:r>
        <w:rPr>
          <w:rFonts w:ascii="Georgia" w:hAnsi="Georgia"/>
          <w:sz w:val="20"/>
        </w:rPr>
        <w:t xml:space="preserve">35. </w:t>
      </w:r>
      <w:bookmarkStart w:id="109" w:name="r35"/>
      <w:r>
        <w:t xml:space="preserve">Zhu, L., Wang, X., Wang, X. (2023).</w:t>
      </w:r>
      <w:r>
        <w:t xml:space="preserve"> </w:t>
      </w:r>
      <w:r>
        <w:rPr>
          <w:i/>
          <w:iCs/>
        </w:rPr>
        <w:t xml:space="preserve">JudgeLM: Fine-tuned Large Language Models are Scalable</w:t>
      </w:r>
      <w:r>
        <w:rPr>
          <w:i/>
          <w:iCs/>
        </w:rPr>
        <w:t xml:space="preserve"> </w:t>
      </w:r>
      <w:r>
        <w:rPr>
          <w:i/>
          <w:iCs/>
        </w:rPr>
        <w:t xml:space="preserve">Judges.</w:t>
      </w:r>
      <w:r>
        <w:t xml:space="preserve"> </w:t>
      </w:r>
      <w:hyperlink r:id="rId108">
        <w:r>
          <w:rPr>
            <w:rStyle w:val="Hyperlink"/>
          </w:rPr>
          <w:t xml:space="preserve">arxiv.org/abs/2310.17631</w:t>
        </w:r>
      </w:hyperlink>
      <w:bookmarkEnd w:id="109"/>
    </w:p>
    <w:p>
      <w:pPr>
        <w:pStyle w:val="ReferenceEntry"/>
        <w:numPr>
          <w:ilvl w:val="0"/>
          <w:numId w:val="1002"/>
        </w:numPr>
        <w:spacing w:after="60"/>
        <w:ind w:left="360" w:hanging="259"/>
        <w:jc w:val="left"/>
        <w:keepNext w:val="0"/>
        <w:keepLines w:val="0"/>
        <w:widowControl w:val="1"/>
      </w:pPr>
      <w:r>
        <w:rPr>
          <w:rFonts w:ascii="Georgia" w:hAnsi="Georgia"/>
          <w:sz w:val="20"/>
        </w:rPr>
        <w:t xml:space="preserve">36. </w:t>
      </w:r>
      <w:bookmarkStart w:id="111" w:name="r36"/>
      <w:r>
        <w:t xml:space="preserve">Shi, W., Ajith, A., Xia, M., et al. (2024).</w:t>
      </w:r>
      <w:r>
        <w:t xml:space="preserve"> </w:t>
      </w:r>
      <w:r>
        <w:rPr>
          <w:i/>
          <w:iCs/>
        </w:rPr>
        <w:t xml:space="preserve">Detecting Pretraining Data from Large Language</w:t>
      </w:r>
      <w:r>
        <w:rPr>
          <w:i/>
          <w:iCs/>
        </w:rPr>
        <w:t xml:space="preserve"> </w:t>
      </w:r>
      <w:r>
        <w:rPr>
          <w:i/>
          <w:iCs/>
        </w:rPr>
        <w:t xml:space="preserve">Models.</w:t>
      </w:r>
      <w:r>
        <w:t xml:space="preserve"> </w:t>
      </w:r>
      <w:r>
        <w:t xml:space="preserve">ICLR.</w:t>
      </w:r>
      <w:r>
        <w:t xml:space="preserve"> </w:t>
      </w:r>
      <w:hyperlink r:id="rId110">
        <w:r>
          <w:rPr>
            <w:rStyle w:val="Hyperlink"/>
          </w:rPr>
          <w:t xml:space="preserve">arxiv.org/abs/2310.16789</w:t>
        </w:r>
      </w:hyperlink>
      <w:bookmarkEnd w:id="111"/>
    </w:p>
    <w:p>
      <w:pPr>
        <w:pStyle w:val="ReferenceEntry"/>
        <w:numPr>
          <w:ilvl w:val="0"/>
          <w:numId w:val="1002"/>
        </w:numPr>
        <w:spacing w:after="60"/>
        <w:ind w:left="360" w:hanging="259"/>
        <w:jc w:val="left"/>
        <w:keepNext w:val="0"/>
        <w:keepLines w:val="0"/>
        <w:widowControl w:val="1"/>
      </w:pPr>
      <w:r>
        <w:rPr>
          <w:rFonts w:ascii="Georgia" w:hAnsi="Georgia"/>
          <w:sz w:val="20"/>
        </w:rPr>
        <w:t xml:space="preserve">37. </w:t>
      </w:r>
      <w:bookmarkStart w:id="113" w:name="r37"/>
      <w:r>
        <w:t xml:space="preserve">Fabbri, A. R., Kryściński, W., McCann, B., Xiong, C., Socher, R., Radev, D. (2021).</w:t>
      </w:r>
      <w:r>
        <w:t xml:space="preserve"> </w:t>
      </w:r>
      <w:r>
        <w:rPr>
          <w:i/>
          <w:iCs/>
        </w:rPr>
        <w:t xml:space="preserve">SummEval: Re-evaluating Summarization Evaluation.</w:t>
      </w:r>
      <w:r>
        <w:t xml:space="preserve"> </w:t>
      </w:r>
      <w:r>
        <w:t xml:space="preserve">Transactions of the Association for Computational</w:t>
      </w:r>
      <w:r>
        <w:t xml:space="preserve"> </w:t>
      </w:r>
      <w:r>
        <w:t xml:space="preserve">Linguistics, 9, 391–409.</w:t>
      </w:r>
      <w:r>
        <w:t xml:space="preserve"> </w:t>
      </w:r>
      <w:hyperlink r:id="rId112">
        <w:r>
          <w:rPr>
            <w:rStyle w:val="Hyperlink"/>
          </w:rPr>
          <w:t xml:space="preserve">arxiv.org/abs/2007.12626</w:t>
        </w:r>
      </w:hyperlink>
      <w:bookmarkEnd w:id="113"/>
    </w:p>
    <w:p>
      <w:pPr>
        <w:pStyle w:val="ReferenceEntry"/>
        <w:numPr>
          <w:ilvl w:val="0"/>
          <w:numId w:val="1002"/>
        </w:numPr>
        <w:spacing w:after="60"/>
        <w:ind w:left="360" w:hanging="259"/>
        <w:jc w:val="left"/>
        <w:keepNext w:val="0"/>
        <w:keepLines w:val="0"/>
        <w:widowControl w:val="1"/>
      </w:pPr>
      <w:r>
        <w:rPr>
          <w:rFonts w:ascii="Georgia" w:hAnsi="Georgia"/>
          <w:sz w:val="20"/>
        </w:rPr>
        <w:t xml:space="preserve">38. </w:t>
      </w:r>
      <w:bookmarkStart w:id="115" w:name="r38"/>
      <w:r>
        <w:t xml:space="preserve">Zeng, Z., Yu, J., Gao, T., Meng, Y., Goyal, T., Chen, D. (2024).</w:t>
      </w:r>
      <w:r>
        <w:t xml:space="preserve"> </w:t>
      </w:r>
      <w:r>
        <w:rPr>
          <w:i/>
          <w:iCs/>
        </w:rPr>
        <w:t xml:space="preserve">Evaluating Large Language</w:t>
      </w:r>
      <w:r>
        <w:rPr>
          <w:i/>
          <w:iCs/>
        </w:rPr>
        <w:t xml:space="preserve"> </w:t>
      </w:r>
      <w:r>
        <w:rPr>
          <w:i/>
          <w:iCs/>
        </w:rPr>
        <w:t xml:space="preserve">Models at Evaluating Instruction Following.</w:t>
      </w:r>
      <w:r>
        <w:t xml:space="preserve"> </w:t>
      </w:r>
      <w:r>
        <w:t xml:space="preserve">ICLR.</w:t>
      </w:r>
      <w:r>
        <w:t xml:space="preserve"> </w:t>
      </w:r>
      <w:hyperlink r:id="rId114">
        <w:r>
          <w:rPr>
            <w:rStyle w:val="Hyperlink"/>
          </w:rPr>
          <w:t xml:space="preserve">arxiv.org/abs/2310.07641</w:t>
        </w:r>
      </w:hyperlink>
      <w:bookmarkEnd w:id="115"/>
    </w:p>
    <w:bookmarkEnd w:id="116"/>
    <w:bookmarkStart w:id="117"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17"/>
    <w:bookmarkStart w:id="121"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5736336" cy="4998720"/>
            <wp:effectExtent b="0" l="0" r="0" t="0"/>
            <wp:docPr descr="Heatmap of pairwise semantic similarity between auto-generated rubric criteria" title="" id="119" name="Picture"/>
            <a:graphic>
              <a:graphicData uri="http://schemas.openxmlformats.org/drawingml/2006/picture">
                <pic:pic>
                  <pic:nvPicPr>
                    <pic:cNvPr descr="figures/f5_rubric_heatmap.png" id="120" name="Picture"/>
                    <pic:cNvPicPr>
                      <a:picLocks noChangeArrowheads="1" noChangeAspect="1"/>
                    </pic:cNvPicPr>
                  </pic:nvPicPr>
                  <pic:blipFill>
                    <a:blip r:embed="rId118"/>
                    <a:stretch>
                      <a:fillRect/>
                    </a:stretch>
                  </pic:blipFill>
                  <pic:spPr bwMode="auto">
                    <a:xfrm>
                      <a:off x="0" y="0"/>
                      <a:ext cx="5736336" cy="4998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Pairwise semantic similarity of the 22 auto-generated rubric criteria across four tasks. Block structure along the diagonal reflects task specialization (within-task 0.342 &gt; cross-task 0.294), while a recurring “completeness” dimension forms a cross-task cluster.</w:t>
      </w:r>
    </w:p>
    <w:bookmarkEnd w:id="121"/>
    <w:bookmarkStart w:id="122" w:name="appC"/>
    <w:p>
      <w:pPr>
        <w:pStyle w:val="Heading2"/>
        <w:keepNext/>
        <w:keepLines/>
        <w:widowControl w:val="1"/>
      </w:pPr>
      <w:r>
        <w:t xml:space="preserve">Appendix C. Worked examples on data-scarce domains</w:t>
      </w:r>
    </w:p>
    <w:p>
      <w:pPr>
        <w:pStyle w:val="FirstParagraph"/>
        <w:jc w:val="both"/>
        <w:keepNext w:val="0"/>
        <w:keepLines w:val="0"/>
        <w:widowControl w:val="1"/>
      </w:pPr>
      <w:r>
        <w:t xml:space="preserve">The three verticals of Section 5.4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5).</w:t>
      </w:r>
    </w:p>
    <w:p>
      <w:pPr>
        <w:pStyle w:val="BodyText"/>
        <w:jc w:val="both"/>
        <w:keepNext w:val="0"/>
        <w:keepLines w:val="0"/>
        <w:widowControl w:val="1"/>
      </w:pPr>
      <w:r>
        <w:t xml:space="preserve">The pipeline is four templated calls to the teacher, all instantiated from the one-line</w:t>
      </w:r>
      <w:r>
        <w:t xml:space="preserve"> </w:t>
      </w:r>
      <w:r>
        <w:rPr>
          <w:rStyle w:val="VerbatimChar"/>
        </w:rPr>
        <w:t xml:space="preserve">task_description</w:t>
      </w:r>
      <w:r>
        <w:t xml:space="preserve"> </w:t>
      </w:r>
      <w:r>
        <w:t xml:space="preserve">(and an optional</w:t>
      </w:r>
      <w:r>
        <w:t xml:space="preserve"> </w:t>
      </w:r>
      <w:r>
        <w:rPr>
          <w:rStyle w:val="VerbatimChar"/>
        </w:rPr>
        <w:t xml:space="preserve">output_description</w:t>
      </w:r>
      <w:r>
        <w:t xml:space="preserve">). The first two build the attribute</w:t>
      </w:r>
      <w:r>
        <w:t xml:space="preserve"> </w:t>
      </w:r>
      <w:r>
        <w:t xml:space="preserve">space the items are stratified over; the third writes the rubric the panel scores against; the fourth generates one</w:t>
      </w:r>
      <w:r>
        <w:t xml:space="preserve"> </w:t>
      </w:r>
      <w:r>
        <w:t xml:space="preserve">contamination-free item per sampled attribute cell. The templates below are the verbatim framework prompts; a sampled</w:t>
      </w:r>
      <w:r>
        <w:t xml:space="preserve"> </w:t>
      </w:r>
      <w:r>
        <w:t xml:space="preserve">cell such as</w:t>
      </w:r>
      <w:r>
        <w:t xml:space="preserve"> </w:t>
      </w:r>
      <w:r>
        <w:rPr>
          <w:i/>
          <w:iCs/>
        </w:rPr>
        <w:t xml:space="preserve">severity = moderate, mechanism = pharmacokinetic, patient_context = pregnancy</w:t>
      </w:r>
      <w:r>
        <w:t xml:space="preserve"> </w:t>
      </w:r>
      <w:r>
        <w:t xml:space="preserve">is what binds</w:t>
      </w:r>
      <w:r>
        <w:t xml:space="preserve"> </w:t>
      </w:r>
      <w:r>
        <w:rPr>
          <w:rStyle w:val="VerbatimChar"/>
        </w:rPr>
        <w:t xml:space="preserve">{target_attributes}</w:t>
      </w:r>
      <w:r>
        <w:t xml:space="preserve"> </w:t>
      </w:r>
      <w:r>
        <w:t xml:space="preserve">and yields the corresponding DDI item shown after Table C1.</w:t>
      </w:r>
    </w:p>
    <w:p>
      <w:pPr>
        <w:pStyle w:val="BodyText"/>
        <w:jc w:val="both"/>
        <w:keepNext w:val="0"/>
        <w:keepLines w:val="0"/>
        <w:widowControl w:val="1"/>
      </w:pPr>
      <w:r>
        <w:rPr>
          <w:b/>
          <w:bCs/>
        </w:rPr>
        <w:t xml:space="preserve">(1) Target-attribute map.</w:t>
      </w:r>
      <w:r>
        <w:t xml:space="preserve"> </w:t>
      </w:r>
      <w:r>
        <w:t xml:space="preserve">Define the axes the benchmark varies over.</w:t>
      </w:r>
    </w:p>
    <w:p>
      <w:pPr>
        <w:pStyle w:val="BodyText"/>
        <w:jc w:val="both"/>
        <w:keepNext w:val="0"/>
        <w:keepLines w:val="0"/>
        <w:widowControl w:val="1"/>
      </w:pPr>
      <w:r>
        <w:rPr>
          <w:rStyle w:val="VerbatimChar"/>
        </w:rPr>
        <w:t xml:space="preserve">Generate synthetic data specifications for the {task_description} task by defining an</w:t>
      </w:r>
      <w:r>
        <w:br/>
      </w:r>
      <w:r>
        <w:rPr>
          <w:rStyle w:val="VerbatimChar"/>
        </w:rPr>
        <w:t xml:space="preserve">attribute space that characterizes possible outputs. Return a JSON object mapping each</w:t>
      </w:r>
      <w:r>
        <w:br/>
      </w:r>
      <w:r>
        <w:rPr>
          <w:rStyle w:val="VerbatimChar"/>
        </w:rPr>
        <w:t xml:space="preserve">attribute name to a list of possible values, and output only the JSON.</w:t>
      </w:r>
    </w:p>
    <w:p>
      <w:pPr>
        <w:pStyle w:val="FirstParagraph"/>
        <w:jc w:val="both"/>
        <w:keepNext w:val="0"/>
        <w:keepLines w:val="0"/>
        <w:widowControl w:val="1"/>
      </w:pPr>
      <w:r>
        <w:rPr>
          <w:b/>
          <w:bCs/>
        </w:rPr>
        <w:t xml:space="preserve">(2) Nuance map.</w:t>
      </w:r>
      <w:r>
        <w:t xml:space="preserve"> </w:t>
      </w:r>
      <w:r>
        <w:t xml:space="preserve">Add surface-variation axes that change phrasing without changing the answer.</w:t>
      </w:r>
    </w:p>
    <w:p>
      <w:pPr>
        <w:pStyle w:val="BodyText"/>
        <w:jc w:val="both"/>
        <w:keepNext w:val="0"/>
        <w:keepLines w:val="0"/>
        <w:widowControl w:val="1"/>
      </w:pPr>
      <w:r>
        <w:rPr>
          <w:rStyle w:val="VerbatimChar"/>
        </w:rPr>
        <w:t xml:space="preserve">Define synthetic data specifications for the {task_description} task by creating a nuanced</w:t>
      </w:r>
      <w:r>
        <w:br/>
      </w:r>
      <w:r>
        <w:rPr>
          <w:rStyle w:val="VerbatimChar"/>
        </w:rPr>
        <w:t xml:space="preserve">variability-focused attribute space. Include only attributes that change document phrasing,</w:t>
      </w:r>
      <w:r>
        <w:br/>
      </w:r>
      <w:r>
        <w:rPr>
          <w:rStyle w:val="VerbatimChar"/>
        </w:rPr>
        <w:t xml:space="preserve">structure, noise, and context, without changing the underlying outputs. Return a single JSON</w:t>
      </w:r>
      <w:r>
        <w:br/>
      </w:r>
      <w:r>
        <w:rPr>
          <w:rStyle w:val="VerbatimChar"/>
        </w:rPr>
        <w:t xml:space="preserve">object mapping each attribute name to a list of allowed values, and output only the JSON.</w:t>
      </w:r>
    </w:p>
    <w:p>
      <w:pPr>
        <w:pStyle w:val="FirstParagraph"/>
        <w:jc w:val="both"/>
        <w:keepNext w:val="0"/>
        <w:keepLines w:val="0"/>
        <w:widowControl w:val="1"/>
      </w:pPr>
      <w:r>
        <w:rPr>
          <w:b/>
          <w:bCs/>
        </w:rPr>
        <w:t xml:space="preserve">(3) Auto-rubric.</w:t>
      </w:r>
      <w:r>
        <w:t xml:space="preserve"> </w:t>
      </w:r>
      <w:r>
        <w:t xml:space="preserve">Write the task-specific scoring factors the judges apply.</w:t>
      </w:r>
    </w:p>
    <w:p>
      <w:pPr>
        <w:pStyle w:val="BodyText"/>
        <w:jc w:val="both"/>
        <w:keepNext w:val="0"/>
        <w:keepLines w:val="0"/>
        <w:widowControl w:val="1"/>
      </w:pPr>
      <w:r>
        <w:rPr>
          <w:rStyle w:val="VerbatimChar"/>
        </w:rPr>
        <w:t xml:space="preserve">For the task {task_description}, where the model's output is {output_description}, create an</w:t>
      </w:r>
      <w:r>
        <w:br/>
      </w:r>
      <w:r>
        <w:rPr>
          <w:rStyle w:val="VerbatimChar"/>
        </w:rPr>
        <w:t xml:space="preserve">evaluation rubric. Return only a JSON object where each key is a quality factor, and each</w:t>
      </w:r>
      <w:r>
        <w:br/>
      </w:r>
      <w:r>
        <w:rPr>
          <w:rStyle w:val="VerbatimChar"/>
        </w:rPr>
        <w:t xml:space="preserve">value is a concise description of that factor. Output only the JSON.</w:t>
      </w:r>
    </w:p>
    <w:p>
      <w:pPr>
        <w:pStyle w:val="FirstParagraph"/>
        <w:jc w:val="both"/>
        <w:keepNext w:val="0"/>
        <w:keepLines w:val="0"/>
        <w:widowControl w:val="1"/>
      </w:pPr>
      <w:r>
        <w:rPr>
          <w:b/>
          <w:bCs/>
        </w:rPr>
        <w:t xml:space="preserve">(4) Item synthesis.</w:t>
      </w:r>
      <w:r>
        <w:t xml:space="preserve"> </w:t>
      </w:r>
      <w:r>
        <w:t xml:space="preserve">Generate one realistic item for a sampled attribute cell.</w:t>
      </w:r>
    </w:p>
    <w:p>
      <w:pPr>
        <w:pStyle w:val="BodyText"/>
        <w:jc w:val="both"/>
        <w:keepNext w:val="0"/>
        <w:keepLines w:val="0"/>
        <w:widowControl w:val="1"/>
      </w:pPr>
      <w:r>
        <w:rPr>
          <w:rStyle w:val="VerbatimChar"/>
        </w:rPr>
        <w:t xml:space="preserve">Generate a realistic benchmark data point.</w:t>
      </w:r>
      <w:r>
        <w:br/>
      </w:r>
      <w:r>
        <w:rPr>
          <w:rStyle w:val="VerbatimChar"/>
        </w:rPr>
        <w:t xml:space="preserve">Task: {task_description}</w:t>
      </w:r>
      <w:r>
        <w:br/>
      </w:r>
      <w:r>
        <w:rPr>
          <w:rStyle w:val="VerbatimChar"/>
        </w:rPr>
        <w:t xml:space="preserve">Output format: {output_description}</w:t>
      </w:r>
      <w:r>
        <w:br/>
      </w:r>
      <w:r>
        <w:rPr>
          <w:rStyle w:val="VerbatimChar"/>
        </w:rPr>
        <w:t xml:space="preserve">Required attributes: {target_attributes}</w:t>
      </w:r>
      <w:r>
        <w:br/>
      </w:r>
      <w:r>
        <w:rPr>
          <w:rStyle w:val="VerbatimChar"/>
        </w:rPr>
        <w:t xml:space="preserve">Nuance: {nuanced_attributes}</w:t>
      </w:r>
      <w:r>
        <w:br/>
      </w:r>
      <w:r>
        <w:br/>
      </w:r>
      <w:r>
        <w:rPr>
          <w:rStyle w:val="VerbatimChar"/>
        </w:rPr>
        <w:t xml:space="preserve">Return only a JSON object with exactly two string keys:</w:t>
      </w:r>
      <w:r>
        <w:br/>
      </w:r>
      <w:r>
        <w:rPr>
          <w:rStyle w:val="VerbatimChar"/>
        </w:rPr>
        <w:t xml:space="preserve">  "prompt":   a realistic input text for the task</w:t>
      </w:r>
      <w:r>
        <w:br/>
      </w:r>
      <w:r>
        <w:rPr>
          <w:rStyle w:val="VerbatimChar"/>
        </w:rPr>
        <w:t xml:space="preserve">  "response": the expected output for that input</w:t>
      </w:r>
      <w:r>
        <w:br/>
      </w:r>
      <w:r>
        <w:rPr>
          <w:rStyle w:val="VerbatimChar"/>
        </w:rPr>
        <w:t xml:space="preserve">Output only the JSON. No explanation or markdown.</w:t>
      </w:r>
    </w:p>
    <w:p>
      <w:pPr>
        <w:pStyle w:val="FirstParagraph"/>
        <w:jc w:val="both"/>
        <w:keepNext w:val="0"/>
        <w:keepLines w:val="0"/>
        <w:widowControl w:val="1"/>
      </w:pPr>
      <w:r>
        <w:t xml:space="preserve">Running this pipeline on the three one-line seeds below produces the auto-generated attribute strata and rubrics in</w:t>
      </w:r>
      <w:r>
        <w:t xml:space="preserve"> </w:t>
      </w:r>
      <w:r>
        <w:t xml:space="preserve">Table C1, and the verbatim items that follow it.</w:t>
      </w:r>
    </w:p>
    <w:p>
      <w:pPr>
        <w:pStyle w:val="TableCaption"/>
        <w:spacing w:before="280" w:after="60" w:line="240" w:lineRule="auto"/>
        <w:jc w:val="center"/>
        <w:keepNext/>
        <w:keepLines/>
        <w:widowControl w:val="1"/>
      </w:pPr>
      <w:r>
        <w:rPr>
          <w:b/>
          <w:i/>
        </w:rPr>
        <w:t>Table C1.</w:t>
      </w:r>
      <w:r>
        <w:rPr>
          <w:b w:val="0"/>
          <w:i/>
        </w:rPr>
        <w:t xml:space="preserve"> </w:t>
      </w:r>
      <w:r>
        <w:rPr>
          <w:b w:val="0"/>
          <w:i/>
        </w:rPr>
        <w:t>From a one-line description to a scored benchmark, for three domains with no public labeled data. The attribute strata and rubric criteria are auto-generated by the teacher; each domain yields 40 stratified, contamination-free items, scored by the cross-family panel.</w:t>
      </w:r>
    </w:p>
    <w:tbl>
      <w:tblPr>
        <w:tblStyle w:val="Table"/>
        <w:tblW w:type="pct" w:w="5000"/>
        <w:jc w:val="center"/>
        <w:tblLayout w:type="autofit"/>
        <w:tblLook w:firstRow="1" w:lastRow="0" w:firstColumn="0" w:lastColumn="0" w:noHBand="0" w:noVBand="0" w:val="0020"/>
        <w:tblCaption w:val="Table C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Domain and one-line seed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Auto-generated attribute strata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Auto-generated rubric</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Drug–drug interaction reasoning</w:t>
            </w:r>
            <w:r>
              <w:rPr>
                <w:rFonts w:ascii="Georgia" w:hAnsi="Georgia"/>
                <w:sz w:val="19"/>
              </w:rPr>
              <w:br/>
            </w:r>
            <w:r>
              <w:rPr>
                <w:rFonts w:ascii="Georgia" w:hAnsi="Georgia"/>
                <w:i/>
                <w:iCs/>
                <w:sz w:val="19"/>
              </w:rPr>
              <w:t xml:space="preserve">"given two or more co-administered drugs and a patient context, assess the interaction, its mechanism, severity, and clinical 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severity {contraindicated, major, moderate, minor}; mechanism {pharmacokinetic, pharmacodynamic};</w:t>
            </w:r>
            <w:r>
              <w:rPr>
                <w:rFonts w:ascii="Georgia" w:hAnsi="Georgia"/>
                <w:sz w:val="19"/>
              </w:rPr>
              <w:t xml:space="preserve"> </w:t>
            </w:r>
            <w:r>
              <w:rPr>
                <w:rFonts w:ascii="Georgia" w:hAnsi="Georgia"/>
                <w:sz w:val="19"/>
              </w:rPr>
              <w:t xml:space="preserve">patient_context {renal, hepatic, polypharmacy-elderly, pregnancy}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interaction_accuracy, severity_correct, safety, completeness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Clinical reasoning</w:t>
            </w:r>
            <w:r>
              <w:rPr>
                <w:rFonts w:ascii="Georgia" w:hAnsi="Georgia"/>
                <w:sz w:val="19"/>
              </w:rPr>
              <w:br/>
            </w:r>
            <w:r>
              <w:rPr>
                <w:rFonts w:ascii="Georgia" w:hAnsi="Georgia"/>
                <w:i/>
                <w:iCs/>
                <w:sz w:val="19"/>
              </w:rPr>
              <w:t xml:space="preserve">"a clinical reasoning question a clinician would face, requiring medical knowledge and safe, accurate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specialty {cardiology, infectious_disease, pediatrics, oncology, emergency}; difficulty {routine, intermediate, hard}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clinical_accuracy, safety, completeness, clarity</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Legal analysis</w:t>
            </w:r>
            <w:r>
              <w:rPr>
                <w:rFonts w:ascii="Georgia" w:hAnsi="Georgia"/>
                <w:sz w:val="19"/>
              </w:rPr>
              <w:br/>
            </w:r>
            <w:r>
              <w:rPr>
                <w:rFonts w:ascii="Georgia" w:hAnsi="Georgia"/>
                <w:i/>
                <w:iCs/>
                <w:sz w:val="19"/>
              </w:rPr>
              <w:t xml:space="preserve">"a legal analysis question requiring identification of the relevant rule and correct application to the facts"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area_of_law {contracts, torts, criminal, constitutional, intellectual_property}; complexity {basic, intermediate, advanced}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legal_accuracy, reasoning_quality, completeness, clarity</w:t>
            </w:r>
          </w:p>
        </w:tc>
      </w:tr>
    </w:tbl>
    <w:p>
      <w:pPr>
        <w:pStyle w:val="BodyText"/>
        <w:spacing w:before="240"/>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ind w:left="360" w:hanging="259"/>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ind w:left="360" w:hanging="259"/>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ind w:left="360" w:hanging="259"/>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5.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22"/>
    <w:bookmarkStart w:id="123" w:name="appD"/>
    <w:p>
      <w:pPr>
        <w:pStyle w:val="Heading2"/>
        <w:keepNext/>
        <w:keepLines/>
        <w:widowControl w:val="1"/>
      </w:pPr>
      <w:r>
        <w:t xml:space="preserve">Appendix D.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D1).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pStyle w:val="TableCaption"/>
        <w:spacing w:before="280" w:after="60" w:line="240" w:lineRule="auto"/>
        <w:jc w:val="center"/>
        <w:keepNext/>
        <w:keepLines/>
        <w:widowControl w:val="1"/>
      </w:pPr>
      <w:r>
        <w:rPr>
          <w:b/>
          <w:i/>
        </w:rPr>
        <w:t>Table D1.</w:t>
      </w:r>
      <w:r>
        <w:rPr>
          <w:b w:val="0"/>
          <w:i/>
        </w:rPr>
        <w:t xml:space="preserve"> </w:t>
      </w:r>
      <w:r>
        <w:rPr>
          <w:b w:val="0"/>
          <w:i/>
        </w:rPr>
        <w:t>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w:t>
      </w:r>
    </w:p>
    <w:tbl>
      <w:tblPr>
        <w:tblStyle w:val="Table"/>
        <w:tblW w:type="pct" w:w="5000"/>
        <w:jc w:val="center"/>
        <w:tblLook w:firstRow="1" w:lastRow="0" w:firstColumn="0" w:lastColumn="0" w:noHBand="0" w:noVBand="0" w:val="0020"/>
        <w:tblCaption w:val="Table D1.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Pooled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Clinical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Code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Legal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Math</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claude-3.5-haiku</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qwen-2.5-7b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llama-3.1-8b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gpt-3.5-turbo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w:t>
            </w:r>
          </w:p>
        </w:tc>
      </w:tr>
    </w:tbl>
    <w:bookmarkEnd w:id="123"/>
    <w:bookmarkStart w:id="124" w:name="appE"/>
    <w:p>
      <w:pPr>
        <w:pStyle w:val="Heading2"/>
        <w:keepNext/>
        <w:keepLines/>
        <w:widowControl w:val="1"/>
      </w:pPr>
      <w:r>
        <w:t xml:space="preserve">Appendix E. Bias cancellation and cross-family self-preference</w:t>
      </w:r>
    </w:p>
    <w:p>
      <w:pPr>
        <w:pStyle w:val="FirstParagraph"/>
        <w:jc w:val="both"/>
        <w:keepNext w:val="0"/>
        <w:keepLines w:val="0"/>
        <w:widowControl w:val="1"/>
      </w:pPr>
      <w:r>
        <w:t xml:space="preserve">We test whether the ensemble cancels verbosity bias (rewarding longer responses) on the four-task</w:t>
      </w:r>
      <w:r>
        <w:t xml:space="preserve"> </w:t>
      </w:r>
      <w:r>
        <w:rPr>
          <w:rStyle w:val="VerbatimChar"/>
        </w:rPr>
        <w:t xml:space="preserve">medium-benchmark</w:t>
      </w:r>
      <w:r>
        <w:t xml:space="preserve"> </w:t>
      </w:r>
      <w:r>
        <w:t xml:space="preserve">run. Per judge, length biases are of</w:t>
      </w:r>
      <w:r>
        <w:t xml:space="preserve"> </w:t>
      </w:r>
      <w:r>
        <w:rPr>
          <w:i/>
          <w:iCs/>
        </w:rPr>
        <w:t xml:space="preserve">mixed sign</w:t>
      </w:r>
      <w:r>
        <w:t xml:space="preserve">:</w:t>
      </w:r>
      <w:r>
        <w:t xml:space="preserve"> </w:t>
      </w:r>
      <w:r>
        <w:rPr>
          <w:rStyle w:val="VerbatimChar"/>
        </w:rPr>
        <w:t xml:space="preserve">gpt-3.5-turbo</w:t>
      </w:r>
      <w:r>
        <w:t xml:space="preserve"> </w:t>
      </w:r>
      <w:r>
        <w:t xml:space="preserve">penalizes length (</w:t>
      </w:r>
      <m:oMath>
        <m:r>
          <m:t>r</m:t>
        </m:r>
        <m:r>
          <m:rPr>
            <m:sty m:val="p"/>
          </m:rPr>
          <m:t>=</m:t>
        </m:r>
        <m:r>
          <m:rPr>
            <m:sty m:val="p"/>
          </m:rPr>
          <m:t>−</m:t>
        </m:r>
        <m:r>
          <m:t>0.177</m:t>
        </m:r>
      </m:oMath>
      <w:r>
        <w:t xml:space="preserve">),</w:t>
      </w:r>
      <w:r>
        <w:t xml:space="preserve"> </w:t>
      </w:r>
      <w:r>
        <w:rPr>
          <w:rStyle w:val="VerbatimChar"/>
        </w:rPr>
        <w:t xml:space="preserve">smollm2-1.7b</w:t>
      </w:r>
      <w:r>
        <w:t xml:space="preserve"> </w:t>
      </w:r>
      <w:r>
        <w:t xml:space="preserve">rewards it (</w:t>
      </w:r>
      <m:oMath>
        <m:r>
          <m:t>r</m:t>
        </m:r>
        <m:r>
          <m:rPr>
            <m:sty m:val="p"/>
          </m:rPr>
          <m:t>=</m:t>
        </m:r>
        <m:r>
          <m:rPr>
            <m:sty m:val="p"/>
          </m:rPr>
          <m:t>+</m:t>
        </m:r>
        <m:r>
          <m:t>0.234</m:t>
        </m:r>
      </m:oMath>
      <w:r>
        <w:t xml:space="preserve">), with panel mean</w:t>
      </w:r>
      <w:r>
        <w:t xml:space="preserve"> </w:t>
      </w:r>
      <m:oMath>
        <m:bar>
          <m:barPr>
            <m:pos m:val="top"/>
          </m:barPr>
          <m:e>
            <m:r>
              <m:rPr>
                <m:sty m:val="p"/>
              </m:rPr>
              <m:t>|</m:t>
            </m:r>
            <m:r>
              <m:t>r</m:t>
            </m:r>
            <m:r>
              <m:rPr>
                <m:sty m:val="p"/>
              </m:rPr>
              <m:t>|</m:t>
            </m:r>
          </m:e>
        </m:bar>
        <m:r>
          <m:rPr>
            <m:sty m:val="p"/>
          </m:rPr>
          <m:t>=</m:t>
        </m:r>
        <m:r>
          <m:t>0.153</m:t>
        </m:r>
      </m:oMath>
      <w:r>
        <w:t xml:space="preserve"> </w:t>
      </w:r>
      <w:r>
        <w:t xml:space="preserve">and no judge length-neutral (Table E1). Averaging mixed-sign biases cancels</w:t>
      </w:r>
      <w:r>
        <w:t xml:space="preserve"> </w:t>
      </w:r>
      <w:r>
        <w:t xml:space="preserve">them: the</w:t>
      </w:r>
      <w:r>
        <w:t xml:space="preserve"> </w:t>
      </w:r>
      <w:r>
        <w:rPr>
          <w:b/>
          <w:bCs/>
        </w:rPr>
        <w:t xml:space="preserve">ensemble</w:t>
      </w:r>
      <w:r>
        <w:t xml:space="preserve"> </w:t>
      </w:r>
      <w:r>
        <w:t xml:space="preserve">length-score correlation is</w:t>
      </w:r>
      <w:r>
        <w:t xml:space="preserve"> </w:t>
      </w:r>
      <m:oMath>
        <m:r>
          <m:t>r</m:t>
        </m:r>
        <m:r>
          <m:rPr>
            <m:sty m:val="p"/>
          </m:rPr>
          <m:t>=</m:t>
        </m:r>
        <m:r>
          <m:rPr>
            <m:sty m:val="p"/>
          </m:rPr>
          <m:t>+</m:t>
        </m:r>
        <m:r>
          <m:t>0.010</m:t>
        </m:r>
      </m:oMath>
      <w:r>
        <w:t xml:space="preserve"> </w:t>
      </w:r>
      <w:r>
        <w:t xml:space="preserve">(95% bootstrap CI</w:t>
      </w:r>
      <w:r>
        <w:t xml:space="preserve"> </w:t>
      </w:r>
      <m:oMath>
        <m:r>
          <m:rPr>
            <m:sty m:val="p"/>
          </m:rPr>
          <m:t>[</m:t>
        </m:r>
        <m:r>
          <m:rPr>
            <m:sty m:val="p"/>
          </m:rPr>
          <m:t>−</m:t>
        </m:r>
        <m:r>
          <m:t>0.039</m:t>
        </m:r>
        <m:r>
          <m:rPr>
            <m:sty m:val="p"/>
          </m:rPr>
          <m:t>,</m:t>
        </m:r>
        <m:r>
          <m:t> </m:t>
        </m:r>
        <m:r>
          <m:rPr>
            <m:sty m:val="p"/>
          </m:rPr>
          <m:t>+</m:t>
        </m:r>
        <m:r>
          <m:t>0.057</m:t>
        </m:r>
        <m:r>
          <m:rPr>
            <m:sty m:val="p"/>
          </m:rPr>
          <m:t>]</m:t>
        </m:r>
      </m:oMath>
      <w:r>
        <w:t xml:space="preserve">,</w:t>
      </w:r>
      <w:r>
        <w:t xml:space="preserve"> </w:t>
      </w:r>
      <w:r>
        <w:t xml:space="preserve">spanning zero), a 93% reduction relative to the per-judge mean and statistically indistinguishable from length-neutral.</w:t>
      </w:r>
      <w:r>
        <w:t xml:space="preserve"> </w:t>
      </w:r>
      <w:r>
        <w:t xml:space="preserve">The cancellation comes from bias-sign diversity, which in this panel is correlated with vendor family, so vendor</w:t>
      </w:r>
      <w:r>
        <w:t xml:space="preserve"> </w:t>
      </w:r>
      <w:r>
        <w:t xml:space="preserve">diversity is a convenient, observable proxy for assembling judges whose idiosyncratic biases are unlikely to align.</w:t>
      </w:r>
    </w:p>
    <w:p>
      <w:pPr>
        <w:pStyle w:val="TableCaption"/>
        <w:spacing w:before="280" w:after="60" w:line="240" w:lineRule="auto"/>
        <w:jc w:val="center"/>
        <w:keepNext/>
        <w:keepLines/>
        <w:widowControl w:val="1"/>
      </w:pPr>
      <w:r>
        <w:rPr>
          <w:b/>
          <w:i/>
        </w:rPr>
        <w:t>Table E1.</w:t>
      </w:r>
      <w:r>
        <w:rPr>
          <w:b w:val="0"/>
          <w:i/>
        </w:rPr>
        <w:t xml:space="preserve"> </w:t>
      </w:r>
      <w:r>
        <w:rPr>
          <w:b w:val="0"/>
          <w:i/>
        </w:rPr>
        <w:t>Verbosity bias (Pearson r between response length and score) for representative individual judges versus the CoEval ensemble. Individual judges carry length biases of opposite sign that the ensemble cancels to a residual centered near zero.</w:t>
      </w:r>
    </w:p>
    <w:tbl>
      <w:tblPr>
        <w:tblStyle w:val="Table"/>
        <w:tblW w:type="pct" w:w="5000"/>
        <w:jc w:val="center"/>
        <w:tblLook w:firstRow="1" w:lastRow="0" w:firstColumn="0" w:lastColumn="0" w:noHBand="0" w:noVBand="0" w:val="0020"/>
        <w:tblCaption w:val="Table E1. Verbosity bias (Pearson r between response length and score) for representative individual judges versus the CoEval ensemble. Individual judges carry length biases of opposite sign that the ensemble cancels to a residual centered near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Length-bias</w:t>
            </w:r>
            <w:r>
              <w:rPr>
                <w:rFonts w:ascii="Georgia" w:hAnsi="Georgia"/>
                <w:b/>
                <w:sz w:val="19"/>
              </w:rPr>
              <w:t xml:space="preserve"> </w:t>
            </w:r>
            <m:oMath>
              <m:r>
                <m:t>r</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95% bootstrap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SmolLM2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Panel mean</w:t>
            </w:r>
            <w:r>
              <w:rPr>
                <w:rFonts w:ascii="Georgia" w:hAnsi="Georgia"/>
                <w:sz w:val="19"/>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CoEval ensemble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[−0.039, +0.057]</w:t>
            </w:r>
          </w:p>
        </w:tc>
      </w:tr>
    </w:tbl>
    <w:p>
      <w:pPr>
        <w:pStyle w:val="BodyText"/>
        <w:spacing w:before="240"/>
        <w:jc w:val="both"/>
        <w:keepNext w:val="0"/>
        <w:keepLines w:val="0"/>
        <w:widowControl w:val="1"/>
      </w:pPr>
      <w:r>
        <w:t xml:space="preserve">Recent work establishes that judge–generator relatedness inflates scores (</w:t>
      </w:r>
      <w:r>
        <w:rPr>
          <w:i/>
          <w:iCs/>
        </w:rPr>
        <w:t xml:space="preserve">Preference Leakage</w:t>
      </w:r>
      <w:r>
        <w:t xml:space="preserve"> </w:t>
      </w:r>
      <w:r>
        <w:t xml:space="preserve">[</w:t>
      </w:r>
      <w:hyperlink w:anchor="r15">
        <w:r>
          <w:rPr>
            <w:rStyle w:val="Hyperlink"/>
          </w:rPr>
          <w:t xml:space="preserve">15</w:t>
        </w:r>
      </w:hyperlink>
      <w:r>
        <w:t xml:space="preserve">];</w:t>
      </w:r>
      <w:r>
        <w:t xml:space="preserve"> </w:t>
      </w:r>
      <w:r>
        <w:rPr>
          <w:i/>
          <w:iCs/>
        </w:rPr>
        <w:t xml:space="preserve">Play Favorites</w:t>
      </w:r>
      <w:r>
        <w:t xml:space="preserve"> </w:t>
      </w:r>
      <w:r>
        <w:t xml:space="preserve">[</w:t>
      </w:r>
      <w:hyperlink w:anchor="r16">
        <w:r>
          <w:rPr>
            <w:rStyle w:val="Hyperlink"/>
          </w:rPr>
          <w:t xml:space="preserve">16</w:t>
        </w:r>
      </w:hyperlink>
      <w:r>
        <w:t xml:space="preserve">]). CoEval addresses this</w:t>
      </w:r>
      <w:r>
        <w:t xml:space="preserve"> </w:t>
      </w:r>
      <w:r>
        <w:rPr>
          <w:i/>
          <w:iCs/>
        </w:rPr>
        <w:t xml:space="preserve">structurally</w:t>
      </w:r>
      <w:r>
        <w:t xml:space="preserve">:</w:t>
      </w:r>
      <w:r>
        <w:t xml:space="preserve"> </w:t>
      </w:r>
      <w:r>
        <w:t xml:space="preserve">requiring the judge panel to be vendor-disjoint from the student under test precludes any model from scoring its own</w:t>
      </w:r>
      <w:r>
        <w:t xml:space="preserve"> </w:t>
      </w:r>
      <w:r>
        <w:t xml:space="preserve">family, so a same-family preference cannot enter the aggregate at all, regardless of its magnitude on any individual</w:t>
      </w:r>
      <w:r>
        <w:t xml:space="preserve"> </w:t>
      </w:r>
      <w:r>
        <w:t xml:space="preserve">model.</w:t>
      </w:r>
    </w:p>
    <w:p>
      <w:pPr>
        <w:pStyle w:val="BodyText"/>
        <w:jc w:val="both"/>
        <w:keepNext w:val="0"/>
        <w:keepLines w:val="0"/>
        <w:widowControl w:val="1"/>
      </w:pPr>
      <w:r>
        <w:t xml:space="preserve">Measured directly, the residual same-family preference is small and inconsistent in sign. Using</w:t>
      </w:r>
      <w:r>
        <w:t xml:space="preserve"> </w:t>
      </w:r>
      <w:r>
        <w:rPr>
          <w:rStyle w:val="VerbatimChar"/>
        </w:rPr>
        <w:t xml:space="preserve">gpt-4o-mini</w:t>
      </w:r>
      <w:r>
        <w:t xml:space="preserve"> </w:t>
      </w:r>
      <w:r>
        <w:t xml:space="preserve">as both a judge and a candidate in the verticals (Section 5.4), a difference-in-differences</w:t>
      </w:r>
      <w:r>
        <w:t xml:space="preserve"> </w:t>
      </w:r>
      <w:r>
        <w:t xml:space="preserve">that controls for a judge's overall harshness gives</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w:t>
      </w:r>
      <w:r>
        <w:t xml:space="preserve"> </w:t>
      </w:r>
      <w:r>
        <w:t xml:space="preserve">legal, and</w:t>
      </w:r>
      <w:r>
        <w:t xml:space="preserve"> </w:t>
      </w:r>
      <m:oMath>
        <m:r>
          <m:rPr>
            <m:sty m:val="p"/>
          </m:rPr>
          <m:t>−</m:t>
        </m:r>
        <m:r>
          <m:t>0.04</m:t>
        </m:r>
      </m:oMath>
      <w:r>
        <w:t xml:space="preserve"> </w:t>
      </w:r>
      <w:r>
        <w:t xml:space="preserve">on drug-interaction: no systematic self-inflation survives. As an explicit safeguard,</w:t>
      </w:r>
      <w:r>
        <w:t xml:space="preserve"> </w:t>
      </w:r>
      <w:r>
        <w:rPr>
          <w:i/>
          <w:iCs/>
        </w:rPr>
        <w:t xml:space="preserve">vendor-disjoint aggregation</w:t>
      </w:r>
      <w:r>
        <w:t xml:space="preserve"> </w:t>
      </w:r>
      <w:r>
        <w:t xml:space="preserve">(when scoring a model, dropping any judge sharing its vendor family) leaves every</w:t>
      </w:r>
      <w:r>
        <w:t xml:space="preserve"> </w:t>
      </w:r>
      <w:r>
        <w:t xml:space="preserve">ranking in Tables 3 and 6 unchanged, with per-model scores shifting by at most</w:t>
      </w:r>
      <w:r>
        <w:t xml:space="preserve"> </w:t>
      </w:r>
      <m:oMath>
        <m:r>
          <m:t>0.016</m:t>
        </m:r>
      </m:oMath>
      <w:r>
        <w:t xml:space="preserve">, confirming the</w:t>
      </w:r>
      <w:r>
        <w:t xml:space="preserve"> </w:t>
      </w:r>
      <w:r>
        <w:t xml:space="preserve">cross-family rankings are already robust to same-family bias.</w:t>
      </w:r>
    </w:p>
    <w:bookmarkEnd w:id="124"/>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24" Type="http://schemas.openxmlformats.org/officeDocument/2006/relationships/image" Target="media/rId24.png"/><Relationship Id="rId118" Type="http://schemas.openxmlformats.org/officeDocument/2006/relationships/image" Target="media/rId118.png"/><Relationship Id="rId112" Type="http://schemas.openxmlformats.org/officeDocument/2006/relationships/hyperlink" Target="https://arxiv.org/abs/2007.12626" TargetMode="External"/><Relationship Id="rId66" Type="http://schemas.openxmlformats.org/officeDocument/2006/relationships/hyperlink" Target="https://arxiv.org/abs/2104.14337" TargetMode="External"/><Relationship Id="rId42" Type="http://schemas.openxmlformats.org/officeDocument/2006/relationships/hyperlink" Target="https://arxiv.org/abs/2303.16634" TargetMode="External"/><Relationship Id="rId106" Type="http://schemas.openxmlformats.org/officeDocument/2006/relationships/hyperlink" Target="https://arxiv.org/abs/2306.05087" TargetMode="External"/><Relationship Id="rId40" Type="http://schemas.openxmlformats.org/officeDocument/2006/relationships/hyperlink" Target="https://arxiv.org/abs/2306.05685" TargetMode="External"/><Relationship Id="rId80" Type="http://schemas.openxmlformats.org/officeDocument/2006/relationships/hyperlink" Target="https://arxiv.org/abs/2308.07201" TargetMode="External"/><Relationship Id="rId114" Type="http://schemas.openxmlformats.org/officeDocument/2006/relationships/hyperlink" Target="https://arxiv.org/abs/2310.07641" TargetMode="External"/><Relationship Id="rId110" Type="http://schemas.openxmlformats.org/officeDocument/2006/relationships/hyperlink" Target="https://arxiv.org/abs/2310.16789" TargetMode="External"/><Relationship Id="rId108" Type="http://schemas.openxmlformats.org/officeDocument/2006/relationships/hyperlink" Target="https://arxiv.org/abs/2310.17631" TargetMode="External"/><Relationship Id="rId84" Type="http://schemas.openxmlformats.org/officeDocument/2006/relationships/hyperlink" Target="https://arxiv.org/abs/2403.07974" TargetMode="External"/><Relationship Id="rId54" Type="http://schemas.openxmlformats.org/officeDocument/2006/relationships/hyperlink" Target="https://arxiv.org/abs/2404.04475" TargetMode="External"/><Relationship Id="rId48" Type="http://schemas.openxmlformats.org/officeDocument/2006/relationships/hyperlink" Target="https://arxiv.org/abs/2404.18796" TargetMode="External"/><Relationship Id="rId62" Type="http://schemas.openxmlformats.org/officeDocument/2006/relationships/hyperlink" Target="https://arxiv.org/abs/2405.00332" TargetMode="External"/><Relationship Id="rId44" Type="http://schemas.openxmlformats.org/officeDocument/2006/relationships/hyperlink" Target="https://arxiv.org/abs/2405.01535" TargetMode="External"/><Relationship Id="rId52" Type="http://schemas.openxmlformats.org/officeDocument/2006/relationships/hyperlink" Target="https://arxiv.org/abs/2406.05761" TargetMode="External"/><Relationship Id="rId82" Type="http://schemas.openxmlformats.org/officeDocument/2006/relationships/hyperlink" Target="https://arxiv.org/abs/2406.19314" TargetMode="External"/><Relationship Id="rId56" Type="http://schemas.openxmlformats.org/officeDocument/2006/relationships/hyperlink" Target="https://arxiv.org/abs/2407.08351" TargetMode="External"/><Relationship Id="rId46" Type="http://schemas.openxmlformats.org/officeDocument/2006/relationships/hyperlink" Target="https://arxiv.org/abs/2407.10817" TargetMode="External"/><Relationship Id="rId88" Type="http://schemas.openxmlformats.org/officeDocument/2006/relationships/hyperlink" Target="https://arxiv.org/abs/2408.08808" TargetMode="External"/><Relationship Id="rId72" Type="http://schemas.openxmlformats.org/officeDocument/2006/relationships/hyperlink" Target="https://arxiv.org/abs/2410.02736" TargetMode="External"/><Relationship Id="rId50" Type="http://schemas.openxmlformats.org/officeDocument/2006/relationships/hyperlink" Target="https://arxiv.org/abs/2410.12784" TargetMode="External"/><Relationship Id="rId74" Type="http://schemas.openxmlformats.org/officeDocument/2006/relationships/hyperlink" Target="https://arxiv.org/abs/2410.21819" TargetMode="External"/><Relationship Id="rId58" Type="http://schemas.openxmlformats.org/officeDocument/2006/relationships/hyperlink" Target="https://arxiv.org/abs/2410.22584" TargetMode="External"/><Relationship Id="rId76" Type="http://schemas.openxmlformats.org/officeDocument/2006/relationships/hyperlink" Target="https://arxiv.org/abs/2411.15594" TargetMode="External"/><Relationship Id="rId78" Type="http://schemas.openxmlformats.org/officeDocument/2006/relationships/hyperlink" Target="https://arxiv.org/abs/2411.16594" TargetMode="External"/><Relationship Id="rId100" Type="http://schemas.openxmlformats.org/officeDocument/2006/relationships/hyperlink" Target="https://arxiv.org/abs/2501.12789" TargetMode="External"/><Relationship Id="rId68" Type="http://schemas.openxmlformats.org/officeDocument/2006/relationships/hyperlink" Target="https://arxiv.org/abs/2502.01534" TargetMode="External"/><Relationship Id="rId64" Type="http://schemas.openxmlformats.org/officeDocument/2006/relationships/hyperlink" Target="https://arxiv.org/abs/2502.14425" TargetMode="External"/><Relationship Id="rId98" Type="http://schemas.openxmlformats.org/officeDocument/2006/relationships/hyperlink" Target="https://arxiv.org/abs/2502.14678" TargetMode="External"/><Relationship Id="rId102" Type="http://schemas.openxmlformats.org/officeDocument/2006/relationships/hyperlink" Target="https://arxiv.org/abs/2502.17521" TargetMode="External"/><Relationship Id="rId60" Type="http://schemas.openxmlformats.org/officeDocument/2006/relationships/hyperlink" Target="https://arxiv.org/abs/2504.01833" TargetMode="External"/><Relationship Id="rId86" Type="http://schemas.openxmlformats.org/officeDocument/2006/relationships/hyperlink" Target="https://arxiv.org/abs/2504.03846" TargetMode="External"/><Relationship Id="rId90" Type="http://schemas.openxmlformats.org/officeDocument/2006/relationships/hyperlink" Target="https://arxiv.org/abs/2504.17087" TargetMode="External"/><Relationship Id="rId70" Type="http://schemas.openxmlformats.org/officeDocument/2006/relationships/hyperlink" Target="https://arxiv.org/abs/2508.06709" TargetMode="External"/><Relationship Id="rId96" Type="http://schemas.openxmlformats.org/officeDocument/2006/relationships/hyperlink" Target="https://arxiv.org/abs/2601.21817" TargetMode="External"/><Relationship Id="rId92" Type="http://schemas.openxmlformats.org/officeDocument/2006/relationships/hyperlink" Target="https://arxiv.org/abs/2602.16610" TargetMode="External"/><Relationship Id="rId94" Type="http://schemas.openxmlformats.org/officeDocument/2006/relationships/hyperlink" Target="https://arxiv.org/abs/2603.00039" TargetMode="External"/><Relationship Id="rId104" Type="http://schemas.openxmlformats.org/officeDocument/2006/relationships/hyperlink" Target="https://doi.org/10.2307/2346806"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12" Type="http://schemas.openxmlformats.org/officeDocument/2006/relationships/hyperlink" Target="https://arxiv.org/abs/2007.12626" TargetMode="External"/><Relationship Id="rId66" Type="http://schemas.openxmlformats.org/officeDocument/2006/relationships/hyperlink" Target="https://arxiv.org/abs/2104.14337" TargetMode="External"/><Relationship Id="rId42" Type="http://schemas.openxmlformats.org/officeDocument/2006/relationships/hyperlink" Target="https://arxiv.org/abs/2303.16634" TargetMode="External"/><Relationship Id="rId106" Type="http://schemas.openxmlformats.org/officeDocument/2006/relationships/hyperlink" Target="https://arxiv.org/abs/2306.05087" TargetMode="External"/><Relationship Id="rId40" Type="http://schemas.openxmlformats.org/officeDocument/2006/relationships/hyperlink" Target="https://arxiv.org/abs/2306.05685" TargetMode="External"/><Relationship Id="rId80" Type="http://schemas.openxmlformats.org/officeDocument/2006/relationships/hyperlink" Target="https://arxiv.org/abs/2308.07201" TargetMode="External"/><Relationship Id="rId114" Type="http://schemas.openxmlformats.org/officeDocument/2006/relationships/hyperlink" Target="https://arxiv.org/abs/2310.07641" TargetMode="External"/><Relationship Id="rId110" Type="http://schemas.openxmlformats.org/officeDocument/2006/relationships/hyperlink" Target="https://arxiv.org/abs/2310.16789" TargetMode="External"/><Relationship Id="rId108" Type="http://schemas.openxmlformats.org/officeDocument/2006/relationships/hyperlink" Target="https://arxiv.org/abs/2310.17631" TargetMode="External"/><Relationship Id="rId84" Type="http://schemas.openxmlformats.org/officeDocument/2006/relationships/hyperlink" Target="https://arxiv.org/abs/2403.07974" TargetMode="External"/><Relationship Id="rId54" Type="http://schemas.openxmlformats.org/officeDocument/2006/relationships/hyperlink" Target="https://arxiv.org/abs/2404.04475" TargetMode="External"/><Relationship Id="rId48" Type="http://schemas.openxmlformats.org/officeDocument/2006/relationships/hyperlink" Target="https://arxiv.org/abs/2404.18796" TargetMode="External"/><Relationship Id="rId62" Type="http://schemas.openxmlformats.org/officeDocument/2006/relationships/hyperlink" Target="https://arxiv.org/abs/2405.00332" TargetMode="External"/><Relationship Id="rId44" Type="http://schemas.openxmlformats.org/officeDocument/2006/relationships/hyperlink" Target="https://arxiv.org/abs/2405.01535" TargetMode="External"/><Relationship Id="rId52" Type="http://schemas.openxmlformats.org/officeDocument/2006/relationships/hyperlink" Target="https://arxiv.org/abs/2406.05761" TargetMode="External"/><Relationship Id="rId82" Type="http://schemas.openxmlformats.org/officeDocument/2006/relationships/hyperlink" Target="https://arxiv.org/abs/2406.19314" TargetMode="External"/><Relationship Id="rId56" Type="http://schemas.openxmlformats.org/officeDocument/2006/relationships/hyperlink" Target="https://arxiv.org/abs/2407.08351" TargetMode="External"/><Relationship Id="rId46" Type="http://schemas.openxmlformats.org/officeDocument/2006/relationships/hyperlink" Target="https://arxiv.org/abs/2407.10817" TargetMode="External"/><Relationship Id="rId88" Type="http://schemas.openxmlformats.org/officeDocument/2006/relationships/hyperlink" Target="https://arxiv.org/abs/2408.08808" TargetMode="External"/><Relationship Id="rId72" Type="http://schemas.openxmlformats.org/officeDocument/2006/relationships/hyperlink" Target="https://arxiv.org/abs/2410.02736" TargetMode="External"/><Relationship Id="rId50" Type="http://schemas.openxmlformats.org/officeDocument/2006/relationships/hyperlink" Target="https://arxiv.org/abs/2410.12784" TargetMode="External"/><Relationship Id="rId74" Type="http://schemas.openxmlformats.org/officeDocument/2006/relationships/hyperlink" Target="https://arxiv.org/abs/2410.21819" TargetMode="External"/><Relationship Id="rId58" Type="http://schemas.openxmlformats.org/officeDocument/2006/relationships/hyperlink" Target="https://arxiv.org/abs/2410.22584" TargetMode="External"/><Relationship Id="rId76" Type="http://schemas.openxmlformats.org/officeDocument/2006/relationships/hyperlink" Target="https://arxiv.org/abs/2411.15594" TargetMode="External"/><Relationship Id="rId78" Type="http://schemas.openxmlformats.org/officeDocument/2006/relationships/hyperlink" Target="https://arxiv.org/abs/2411.16594" TargetMode="External"/><Relationship Id="rId100" Type="http://schemas.openxmlformats.org/officeDocument/2006/relationships/hyperlink" Target="https://arxiv.org/abs/2501.12789" TargetMode="External"/><Relationship Id="rId68" Type="http://schemas.openxmlformats.org/officeDocument/2006/relationships/hyperlink" Target="https://arxiv.org/abs/2502.01534" TargetMode="External"/><Relationship Id="rId64" Type="http://schemas.openxmlformats.org/officeDocument/2006/relationships/hyperlink" Target="https://arxiv.org/abs/2502.14425" TargetMode="External"/><Relationship Id="rId98" Type="http://schemas.openxmlformats.org/officeDocument/2006/relationships/hyperlink" Target="https://arxiv.org/abs/2502.14678" TargetMode="External"/><Relationship Id="rId102" Type="http://schemas.openxmlformats.org/officeDocument/2006/relationships/hyperlink" Target="https://arxiv.org/abs/2502.17521" TargetMode="External"/><Relationship Id="rId60" Type="http://schemas.openxmlformats.org/officeDocument/2006/relationships/hyperlink" Target="https://arxiv.org/abs/2504.01833" TargetMode="External"/><Relationship Id="rId86" Type="http://schemas.openxmlformats.org/officeDocument/2006/relationships/hyperlink" Target="https://arxiv.org/abs/2504.03846" TargetMode="External"/><Relationship Id="rId90" Type="http://schemas.openxmlformats.org/officeDocument/2006/relationships/hyperlink" Target="https://arxiv.org/abs/2504.17087" TargetMode="External"/><Relationship Id="rId70" Type="http://schemas.openxmlformats.org/officeDocument/2006/relationships/hyperlink" Target="https://arxiv.org/abs/2508.06709" TargetMode="External"/><Relationship Id="rId96" Type="http://schemas.openxmlformats.org/officeDocument/2006/relationships/hyperlink" Target="https://arxiv.org/abs/2601.21817" TargetMode="External"/><Relationship Id="rId92" Type="http://schemas.openxmlformats.org/officeDocument/2006/relationships/hyperlink" Target="https://arxiv.org/abs/2602.16610" TargetMode="External"/><Relationship Id="rId94" Type="http://schemas.openxmlformats.org/officeDocument/2006/relationships/hyperlink" Target="https://arxiv.org/abs/2603.00039" TargetMode="External"/><Relationship Id="rId104"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2026-06-04T18:19:27Z</dcterms:created>
  <dcterms:modified xsi:type="dcterms:W3CDTF">2026-06-04T18:19:27Z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