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draws on three lines of work, each motivated by one half of the practitioner's problem: evidence that public</w:t>
      </w:r>
      <w:r>
        <w:t xml:space="preserve"> </w:t>
      </w:r>
      <w:r>
        <w:t xml:space="preserve">benchmarks cannot be taken at face value (contamination and leakage), automated benchmark generation when no labeled</w:t>
      </w:r>
      <w:r>
        <w:t xml:space="preserve"> </w:t>
      </w:r>
      <w:r>
        <w:t xml:space="preserve">data exists, and LLM-as-judge scoring. CoEval unifies all three, contamination-free, label-free, domain-targeted</w:t>
      </w:r>
      <w:r>
        <w:t xml:space="preserve"> </w:t>
      </w:r>
      <w:r>
        <w:t xml:space="preserve">generation with a reliability-controlled cross-family judge ensemble, in a single framework for the no-data,</w:t>
      </w:r>
      <w:r>
        <w:t xml:space="preserve"> </w:t>
      </w:r>
      <w:r>
        <w:t xml:space="preserve">untrusted-benchmark regime; we detail each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which CoEval applies to a vendor-disjoint LLM panel (Section 5.2). Recent label-free</w:t>
      </w:r>
      <w:r>
        <w:t xml:space="preserve"> </w:t>
      </w:r>
      <w:r>
        <w:t xml:space="preserve">methods learn per-judge reliability jointly with the ranking from pairwise comparisons (judge-aware Bradley–Terry</w:t>
      </w:r>
      <w:r>
        <w:t xml:space="preserve"> </w:t>
      </w:r>
      <w:r>
        <w:t xml:space="preserve">[</w:t>
      </w:r>
      <w:hyperlink w:anchor="r27">
        <w:r>
          <w:rPr>
            <w:rStyle w:val="Hyperlink"/>
          </w:rPr>
          <w:t xml:space="preserve">27</w:t>
        </w:r>
      </w:hyperlink>
      <w:r>
        <w:t xml:space="preserve">], judge-aware ranking [</w:t>
      </w:r>
      <w:hyperlink w:anchor="r29">
        <w:r>
          <w:rPr>
            <w:rStyle w:val="Hyperlink"/>
          </w:rPr>
          <w:t xml:space="preserve">29</w:t>
        </w:r>
      </w:hyperlink>
      <w:r>
        <w:t xml:space="preserve">]) or separate quality from shared confounders</w:t>
      </w:r>
      <w:r>
        <w:t xml:space="preserve"> </w:t>
      </w:r>
      <w:r>
        <w:t xml:space="preserve">[</w:t>
      </w:r>
      <w:hyperlink w:anchor="r28">
        <w:r>
          <w:rPr>
            <w:rStyle w:val="Hyperlink"/>
          </w:rPr>
          <w:t xml:space="preserve">28</w:t>
        </w:r>
      </w:hyperlink>
      <w:r>
        <w:t xml:space="preserve">]; CoEval's contribution is their</w:t>
      </w:r>
      <w:r>
        <w:t xml:space="preserve"> </w:t>
      </w:r>
      <w:r>
        <w:rPr>
          <w:i/>
          <w:iCs/>
        </w:rPr>
        <w:t xml:space="preserve">integration</w:t>
      </w:r>
      <w:r>
        <w:t xml:space="preserve">, supplying the items themselves (de novo,</w:t>
      </w:r>
      <w:r>
        <w:t xml:space="preserve"> </w:t>
      </w:r>
      <w:r>
        <w:t xml:space="preserve">contamination-free) and scoring them as absolute rubric scores from a</w:t>
      </w:r>
      <w:r>
        <w:t xml:space="preserve"> </w:t>
      </w:r>
      <w:r>
        <w:rPr>
          <w:i/>
          <w:iCs/>
        </w:rPr>
        <w:t xml:space="preserve">vendor-disjoint</w:t>
      </w:r>
      <w:r>
        <w:t xml:space="preserve"> </w:t>
      </w:r>
      <w:r>
        <w:t xml:space="preserve">panel rather than</w:t>
      </w:r>
      <w:r>
        <w:t xml:space="preserve"> </w:t>
      </w:r>
      <w:r>
        <w:t xml:space="preserve">pairwise comparisons from a single-vendor pool, which surfaces the</w:t>
      </w:r>
      <w:r>
        <w:t xml:space="preserve"> </w:t>
      </w:r>
      <w:r>
        <w:rPr>
          <w:i/>
          <w:iCs/>
        </w:rPr>
        <w:t xml:space="preserve">judge-choice regret</w:t>
      </w:r>
      <w:r>
        <w:t xml:space="preserve"> </w:t>
      </w:r>
      <w:r>
        <w:t xml:space="preserve">of Section 5.2: a</w:t>
      </w:r>
      <w:r>
        <w:t xml:space="preserve"> </w:t>
      </w:r>
      <w:r>
        <w:t xml:space="preserve">single judge can be anti-correlated with ground truth where the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24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We exercise the complete tool in its intended regime on three custom verticals,</w:t>
      </w:r>
      <w:r>
        <w:t xml:space="preserve"> </w:t>
      </w:r>
      <w:r>
        <w:rPr>
          <w:i/>
          <w:iCs/>
        </w:rPr>
        <w:t xml:space="preserve">drug–drug interaction reasoning</w:t>
      </w:r>
      <w:r>
        <w:t xml:space="preserve">,</w:t>
      </w:r>
      <w:r>
        <w:t xml:space="preserve"> </w:t>
      </w:r>
      <w:r>
        <w:rPr>
          <w:i/>
          <w:iCs/>
        </w:rPr>
        <w:t xml:space="preserve">clinical reasoning</w:t>
      </w:r>
      <w:r>
        <w:t xml:space="preserve">, and</w:t>
      </w:r>
      <w:r>
        <w:t xml:space="preserve"> </w:t>
      </w:r>
      <w:r>
        <w:rPr>
          <w:i/>
          <w:iCs/>
        </w:rPr>
        <w:t xml:space="preserve">legal analysis</w:t>
      </w:r>
      <w:r>
        <w:t xml:space="preserve">, for</w:t>
      </w:r>
      <w:r>
        <w:t xml:space="preserve"> </w:t>
      </w:r>
      <w:r>
        <w:t xml:space="preserve">which we assume no task-specific labeled data and no trustworthy public benchmark. From a one-line description</w:t>
      </w:r>
      <w:r>
        <w:t xml:space="preserve"> </w:t>
      </w:r>
      <w:r>
        <w:t xml:space="preserve">each, CoEval generated 40 attribute-stratified items per vertical, three candidates answered, and the</w:t>
      </w:r>
      <w:r>
        <w:t xml:space="preserve"> </w:t>
      </w:r>
      <w:r>
        <w:t xml:space="preserve">cross-family panel scored every response, from one configuration file with no human labels. The panel produces</w:t>
      </w:r>
      <w:r>
        <w:t xml:space="preserve"> </w:t>
      </w:r>
      <w:r>
        <w:t xml:space="preserve">defensible rankings, a fully unanimous order on drug-interaction (</w:t>
      </w:r>
      <w:r>
        <w:rPr>
          <w:rStyle w:val="VerbatimChar"/>
        </w:rPr>
        <w:t xml:space="preserve">gpt-4o-mini</w:t>
      </w:r>
      <w:r>
        <w:t xml:space="preserve"> </w:t>
      </w:r>
      <m:oMath>
        <m:r>
          <m:rPr>
            <m:sty m:val="p"/>
          </m:rPr>
          <m:t>&gt;</m:t>
        </m:r>
      </m:oMath>
      <w:r>
        <w:t xml:space="preserve"> </w:t>
      </w:r>
      <w:r>
        <w:rPr>
          <w:rStyle w:val="VerbatimChar"/>
        </w:rPr>
        <w:t xml:space="preserve">gpt-3.5-turbo</w:t>
      </w:r>
      <w:r>
        <w:t xml:space="preserve"> </w:t>
      </w:r>
      <m:oMath>
        <m:r>
          <m:rPr>
            <m:sty m:val="p"/>
          </m:rPr>
          <m:t>&gt;</m:t>
        </m:r>
      </m:oMath>
      <w:r>
        <w:t xml:space="preserve"> </w:t>
      </w:r>
      <w:r>
        <w:rPr>
          <w:rStyle w:val="VerbatimChar"/>
        </w:rPr>
        <w:t xml:space="preserve">llama-3.2-3b</w:t>
      </w:r>
      <w:r>
        <w:t xml:space="preserve">, non-overlapping CIs) and consistent rankings on clinical</w:t>
      </w:r>
      <w:r>
        <w:t xml:space="preserve"> </w:t>
      </w:r>
      <w:r>
        <w:t xml:space="preserve">and legal, with</w:t>
      </w:r>
      <w:r>
        <w:t xml:space="preserve"> </w:t>
      </w:r>
      <m:oMath>
        <m:r>
          <m:t>71</m:t>
        </m:r>
        <m:r>
          <m:rPr>
            <m:sty m:val="p"/>
          </m:rPr>
          <m:t>%</m:t>
        </m:r>
      </m:oMath>
      <w:r>
        <w:t xml:space="preserve"> </w:t>
      </w:r>
      <w:r>
        <w:t xml:space="preserve">of generated items discriminative. Appendix G reports the full results</w:t>
      </w:r>
      <w:r>
        <w:t xml:space="preserve"> </w:t>
      </w:r>
      <w:r>
        <w:t xml:space="preserve">(Table G1) and Appendix C the generated artifacts.</w:t>
      </w: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G1).</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G1.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 2 and Table G1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24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5"/>
    <w:bookmarkStart w:id="126" w:name="appG"/>
    <w:p>
      <w:pPr>
        <w:pStyle w:val="Heading2"/>
        <w:keepNext/>
        <w:keepLines/>
        <w:widowControl w:val="1"/>
      </w:pPr>
      <w:r>
        <w:t xml:space="preserve">Appendix G. Domain case studies (full results)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G1).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G1.</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G1.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126"/>
    <w:sectPr w:rsidR="00FC693F" w:rsidRPr="0006063C" w:rsidSect="00034616">
      <w:type w:val="continuous"/>
      <w:pgSz w:h="15840" w:w="12240"/>
      <w:pgMar w:bottom="1080" w:footer="720" w:gutter="0" w:header="720" w:left="1080" w:right="1080" w:top="1080"/>
      <w:cols w:num="1" w:space="28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2026-06-04T19:05:26Z</dcterms:created>
  <dcterms:modified xsi:type="dcterms:W3CDTF">2026-06-04T19:05:26Z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