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2"/>
        </w:rPr>
        <w:t xml:space="preserve">Anonymous Author(s)</w:t>
      </w:r>
    </w:p>
    <w:p>
      <w:pPr>
        <w:pStyle w:val="Subtitle"/>
        <w:spacing w:before="0" w:after="40"/>
        <w:jc w:val="center"/>
        <w:keepNext/>
        <w:keepLines/>
        <w:widowControl w:val="1"/>
      </w:pPr>
      <w:r>
        <w:rPr>
          <w:rFonts w:ascii="Times New Roman" w:hAnsi="Times New Roman"/>
          <w:b/>
          <w:i w:val="0"/>
          <w:sz w:val="22"/>
        </w:rPr>
        <w:t xml:space="preserve">Affiliation withheld for double-blind review</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headerReference w:type="default" r:id="rId10"/>
          <w:type w:val="continuous"/>
          <w:pgSz w:h="16838" w:w="11906"/>
          <w:pgMar w:bottom="1417" w:footer="720" w:gutter="0" w:header="720" w:left="1417" w:right="1417" w:top="1417"/>
          <w:lnNumType w:countBy="1" w:restart="continuous" w:distance="80"/>
          <w:cols w:num="1" w:space="340"/>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over an internal knowledge base, triaging support tickets) faces a deceptively</w:t>
      </w:r>
      <w:r>
        <w:t xml:space="preserve"> </w:t>
      </w:r>
      <w:r>
        <w:t xml:space="preserve">simple question:</w:t>
      </w:r>
      <w:r>
        <w:t xml:space="preserve"> </w:t>
      </w:r>
      <w:r>
        <w:rPr>
          <w:i/>
          <w:iCs/>
        </w:rPr>
        <w:t xml:space="preserve">which model is best for my use case?</w:t>
      </w:r>
      <w:r>
        <w:t xml:space="preserve"> </w:t>
      </w:r>
      <w:r>
        <w:t xml:space="preserve">Answering it well needs an evaluation set that reflects</w:t>
      </w:r>
      <w:r>
        <w:t xml:space="preserve"> </w:t>
      </w:r>
      <w:r>
        <w:t xml:space="preserve">that use case, and the static, human-curated benchmarks that dominate LLM evaluation make this hard in three ways. They</w:t>
      </w:r>
      <w:r>
        <w:t xml:space="preserve"> </w:t>
      </w:r>
      <w:r>
        <w:t xml:space="preserve">are</w:t>
      </w:r>
      <w:r>
        <w:t xml:space="preserve"> </w:t>
      </w:r>
      <w:r>
        <w:rPr>
          <w:i/>
          <w:iCs/>
        </w:rPr>
        <w:t xml:space="preserve">non-extensible</w:t>
      </w:r>
      <w:r>
        <w:t xml:space="preserve"> </w:t>
      </w:r>
      <w:r>
        <w:t xml:space="preserve">(covering a new domain or difficulty band needs fresh, slow annotation, and for a</w:t>
      </w:r>
      <w:r>
        <w:t xml:space="preserve"> </w:t>
      </w:r>
      <w:r>
        <w:t xml:space="preserve">proprietary domain the data may not exist at all);</w:t>
      </w:r>
      <w:r>
        <w:t xml:space="preserve"> </w:t>
      </w:r>
      <w:r>
        <w:rPr>
          <w:i/>
          <w:iCs/>
        </w:rPr>
        <w:t xml:space="preserve">contamination-prone</w:t>
      </w:r>
      <w:r>
        <w:t xml:space="preserve"> </w:t>
      </w:r>
      <w:r>
        <w:t xml:space="preserve">(public items leak into pretraining</w:t>
      </w:r>
      <w:r>
        <w:t xml:space="preserve"> </w:t>
      </w:r>
      <w:r>
        <w:t xml:space="preserve">corpora, so a 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 and</w:t>
      </w:r>
      <w:r>
        <w:t xml:space="preserve"> </w:t>
      </w:r>
      <w:r>
        <w:rPr>
          <w:i/>
          <w:iCs/>
        </w:rPr>
        <w:t xml:space="preserve">generic</w:t>
      </w:r>
      <w:r>
        <w:t xml:space="preserve"> </w:t>
      </w:r>
      <w:r>
        <w:t xml:space="preserve">(an average-case distribution rarely matches the inputs, scoring criteria,</w:t>
      </w:r>
      <w:r>
        <w:t xml:space="preserve"> </w:t>
      </w:r>
      <w:r>
        <w:t xml:space="preserve">or edge cases of a particular system). When a practitioner has neither task-specific labeled data</w:t>
      </w:r>
      <w:r>
        <w:t xml:space="preserve"> </w:t>
      </w:r>
      <w:r>
        <w:rPr>
          <w:i/>
          <w:iCs/>
        </w:rPr>
        <w:t xml:space="preserve">nor</w:t>
      </w:r>
      <w:r>
        <w:t xml:space="preserve"> </w:t>
      </w:r>
      <w:r>
        <w:t xml:space="preserve">a</w:t>
      </w:r>
      <w:r>
        <w:t xml:space="preserve"> </w:t>
      </w:r>
      <w:r>
        <w:t xml:space="preserve">benchmark they can trust, they are stuck.</w:t>
      </w:r>
      <w:r>
        <w:t xml:space="preserve"> </w:t>
      </w:r>
      <w:r>
        <w:rPr>
          <w:b/>
          <w:bCs/>
        </w:rPr>
        <w:t xml:space="preserve">CoEval</w:t>
      </w:r>
      <w:r>
        <w:t xml:space="preserve"> </w:t>
      </w:r>
      <w:r>
        <w:t xml:space="preserve">is built for exactly this situation: it generates a</w:t>
      </w:r>
      <w:r>
        <w:t xml:space="preserve"> </w:t>
      </w:r>
      <w:r>
        <w:t xml:space="preserve">fresh, domain-targeted evaluation from a task description and ranks candidate models on it, with no labels and no</w:t>
      </w:r>
      <w:r>
        <w:t xml:space="preserve"> </w:t>
      </w:r>
      <w:r>
        <w:t xml:space="preserve">contaminated items.</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 scoring,</w:t>
      </w:r>
      <w:r>
        <w:t xml:space="preserve"> </w:t>
      </w:r>
      <w:r>
        <w:t xml:space="preserve">grading free-form responses against a rubric at a fraction of human cost, but a single judge is not a neutral</w:t>
      </w:r>
      <w:r>
        <w:t xml:space="preserve"> </w:t>
      </w:r>
      <w:r>
        <w:t xml:space="preserve">instrument: judges exhibit positional,</w:t>
      </w:r>
      <w:r>
        <w:t xml:space="preserve"> </w:t>
      </w:r>
      <w:r>
        <w:rPr>
          <w:i/>
          <w:iCs/>
        </w:rPr>
        <w:t xml:space="preserve">verbosity</w:t>
      </w:r>
      <w:r>
        <w:t xml:space="preserve"> </w:t>
      </w:r>
      <w:r>
        <w:t xml:space="preserve">[</w:t>
      </w:r>
      <w:hyperlink w:anchor="r8">
        <w:r>
          <w:rPr>
            <w:rStyle w:val="Hyperlink"/>
          </w:rPr>
          <w:t xml:space="preserve">8</w:t>
        </w:r>
      </w:hyperlink>
      <w:r>
        <w:t xml:space="preserve">], and</w:t>
      </w:r>
      <w:r>
        <w:t xml:space="preserve"> </w:t>
      </w:r>
      <w:r>
        <w:rPr>
          <w:i/>
          <w:iCs/>
        </w:rPr>
        <w:t xml:space="preserve">self-preference</w:t>
      </w:r>
      <w:r>
        <w:t xml:space="preserve"> </w:t>
      </w:r>
      <w:r>
        <w:t xml:space="preserve">biases,</w:t>
      </w:r>
      <w:r>
        <w:t xml:space="preserve"> </w:t>
      </w:r>
      <w:r>
        <w:t xml:space="preserve">and a measurement built on one biased instrument inherits its distortions.</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2;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draws on three lines of work, each motivated by one half of the practitioner's problem: evidence that public</w:t>
      </w:r>
      <w:r>
        <w:t xml:space="preserve"> </w:t>
      </w:r>
      <w:r>
        <w:t xml:space="preserve">benchmarks cannot be taken at face value (contamination and leakage), automated benchmark generation when no labeled</w:t>
      </w:r>
      <w:r>
        <w:t xml:space="preserve"> </w:t>
      </w:r>
      <w:r>
        <w:t xml:space="preserve">data exists, and LLM-as-judge scoring. CoEval unifies all three, contamination-free, label-free, domain-targeted</w:t>
      </w:r>
      <w:r>
        <w:t xml:space="preserve"> </w:t>
      </w:r>
      <w:r>
        <w:t xml:space="preserve">generation with a reliability-controlled cross-family judge ensemble, in a single framework for the no-data,</w:t>
      </w:r>
      <w:r>
        <w:t xml:space="preserve"> </w:t>
      </w:r>
      <w:r>
        <w:t xml:space="preserve">untrusted-benchmark regime; we detail each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 preference and</w:t>
      </w:r>
      <w:r>
        <w:t xml:space="preserve"> </w:t>
      </w:r>
      <w:r>
        <w:t xml:space="preserve">documented its biases. G-Eval [</w:t>
      </w:r>
      <w:hyperlink w:anchor="r2">
        <w:r>
          <w:rPr>
            <w:rStyle w:val="Hyperlink"/>
          </w:rPr>
          <w:t xml:space="preserve">2</w:t>
        </w:r>
      </w:hyperlink>
      <w:r>
        <w:t xml:space="preserve">] scores against a user-supplied rubric with chain-of-thought;</w:t>
      </w:r>
      <w:r>
        <w:t xml:space="preserve"> </w:t>
      </w:r>
      <w:r>
        <w:t xml:space="preserve">Prometheus 2 [</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w:t>
      </w:r>
      <w:r>
        <w:t xml:space="preserve"> </w:t>
      </w:r>
      <w:r>
        <w:t xml:space="preserve">dedicated open evaluators. These are</w:t>
      </w:r>
      <w:r>
        <w:t xml:space="preserve"> </w:t>
      </w:r>
      <w:r>
        <w:rPr>
          <w:i/>
          <w:iCs/>
        </w:rPr>
        <w:t xml:space="preserve">single-judge</w:t>
      </w:r>
      <w:r>
        <w:t xml:space="preserve">: they need a user-supplied rubric and inherit one model's</w:t>
      </w:r>
      <w:r>
        <w:t xml:space="preserve"> </w:t>
      </w:r>
      <w:r>
        <w:t xml:space="preserve">biases. CoEval instead generates the rubric from the task definition and aggregates across a diverse panel. FLAMe</w:t>
      </w:r>
      <w:r>
        <w:t xml:space="preserve"> </w:t>
      </w:r>
      <w:r>
        <w:t xml:space="preserve">[</w:t>
      </w:r>
      <w:hyperlink w:anchor="r4">
        <w:r>
          <w:rPr>
            <w:rStyle w:val="Hyperlink"/>
          </w:rPr>
          <w:t xml:space="preserve">4</w:t>
        </w:r>
      </w:hyperlink>
      <w:r>
        <w:t xml:space="preserve">] and JudgeBench [</w:t>
      </w:r>
      <w:hyperlink w:anchor="r6">
        <w:r>
          <w:rPr>
            <w:rStyle w:val="Hyperlink"/>
          </w:rPr>
          <w:t xml:space="preserve">6</w:t>
        </w:r>
      </w:hyperlink>
      <w:r>
        <w:t xml:space="preserve">] study judge reliability and BiGGen-Bench</w:t>
      </w:r>
      <w:r>
        <w:t xml:space="preserve"> </w:t>
      </w:r>
      <w:r>
        <w:t xml:space="preserve">[</w:t>
      </w:r>
      <w:hyperlink w:anchor="r7">
        <w:r>
          <w:rPr>
            <w:rStyle w:val="Hyperlink"/>
          </w:rPr>
          <w:t xml:space="preserve">7</w:t>
        </w:r>
      </w:hyperlink>
      <w:r>
        <w:t xml:space="preserve">] introduces instance-specific criteria; CoEval is complementary, adding cross-family aggregation</w:t>
      </w:r>
      <w:r>
        <w:t xml:space="preserve"> </w:t>
      </w:r>
      <w:r>
        <w:t xml:space="preserve">and live agreement monitoring on top of any such judges.</w:t>
      </w:r>
    </w:p>
    <w:p>
      <w:pPr>
        <w:pStyle w:val="BodyText"/>
        <w:jc w:val="both"/>
        <w:keepNext w:val="0"/>
        <w:keepLines w:val="0"/>
        <w:widowControl w:val="1"/>
      </w:pPr>
      <w:r>
        <w:t xml:space="preserve">Closest to our judging design,</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shows a panel of</w:t>
      </w:r>
      <w:r>
        <w:t xml:space="preserve"> </w:t>
      </w:r>
      <w:r>
        <w:t xml:space="preserve">smaller judges can rival a single large judge while reducing bias and cost. CoEval extends this in three ways: it</w:t>
      </w:r>
      <w:r>
        <w:t xml:space="preserve"> </w:t>
      </w:r>
      <w:r>
        <w:t xml:space="preserve">couples the panel to attribute-controlled, contamination-free</w:t>
      </w:r>
      <w:r>
        <w:t xml:space="preserve"> </w:t>
      </w:r>
      <w:r>
        <w:rPr>
          <w:i/>
          <w:iCs/>
        </w:rPr>
        <w:t xml:space="preserve">generation</w:t>
      </w:r>
      <w:r>
        <w:t xml:space="preserve"> </w:t>
      </w:r>
      <w:r>
        <w:t xml:space="preserve">rather than scoring a fixed set; it</w:t>
      </w:r>
      <w:r>
        <w:t xml:space="preserve"> </w:t>
      </w:r>
      <w:r>
        <w:t xml:space="preserve">enforces</w:t>
      </w:r>
      <w:r>
        <w:t xml:space="preserve"> </w:t>
      </w:r>
      <w:r>
        <w:rPr>
          <w:i/>
          <w:iCs/>
        </w:rPr>
        <w:t xml:space="preserve">cross-family</w:t>
      </w:r>
      <w:r>
        <w:t xml:space="preserve"> </w:t>
      </w:r>
      <w:r>
        <w:t xml:space="preserve">composition and reports that composition dominates size; and it adds teacher/student/judge</w:t>
      </w:r>
      <w:r>
        <w:t xml:space="preserve"> </w:t>
      </w:r>
      <w:r>
        <w:t xml:space="preserve">role separation with self-preference monitoring. ChatEval [</w:t>
      </w:r>
      <w:hyperlink w:anchor="r21">
        <w:r>
          <w:rPr>
            <w:rStyle w:val="Hyperlink"/>
          </w:rPr>
          <w:t xml:space="preserve">21</w:t>
        </w:r>
      </w:hyperlink>
      <w:r>
        <w:t xml:space="preserve">] and meta-judge frameworks</w:t>
      </w:r>
      <w:r>
        <w:t xml:space="preserve"> </w:t>
      </w:r>
      <w:r>
        <w:t xml:space="preserve">[</w:t>
      </w:r>
      <w:hyperlink w:anchor="r26">
        <w:r>
          <w:rPr>
            <w:rStyle w:val="Hyperlink"/>
          </w:rPr>
          <w:t xml:space="preserve">26</w:t>
        </w:r>
      </w:hyperlink>
      <w:r>
        <w:t xml:space="preserve">] improve reliability through intra-pool deliberation; CoEval instead rotates models</w:t>
      </w:r>
      <w:r>
        <w:t xml:space="preserve"> </w:t>
      </w:r>
      <w:r>
        <w:rPr>
          <w:i/>
          <w:iCs/>
        </w:rPr>
        <w:t xml:space="preserve">across vendors</w:t>
      </w:r>
      <w:r>
        <w:t xml:space="preserve"> </w:t>
      </w:r>
      <w:r>
        <w:t xml:space="preserve">for cross-family bias cancellation.</w:t>
      </w:r>
    </w:p>
    <w:p>
      <w:pPr>
        <w:pStyle w:val="BodyText"/>
        <w:jc w:val="both"/>
        <w:keepNext w:val="0"/>
        <w:keepLines w:val="0"/>
        <w:widowControl w:val="1"/>
      </w:pPr>
      <w:r>
        <w:t xml:space="preserve">The cross-family design is motivated by evidence that judge–generator relatedness is a 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a judge sharing a model or vendor family with the generator</w:t>
      </w:r>
      <w:r>
        <w:t xml:space="preserve"> </w:t>
      </w:r>
      <w:r>
        <w:t xml:space="preserve">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w:t>
      </w:r>
      <w:r>
        <w:t xml:space="preserve"> </w:t>
      </w:r>
      <w:r>
        <w:t xml:space="preserve">Self-preference has been characterized mechanistically [</w:t>
      </w:r>
      <w:hyperlink w:anchor="r18">
        <w:r>
          <w:rPr>
            <w:rStyle w:val="Hyperlink"/>
          </w:rPr>
          <w:t xml:space="preserve">18</w:t>
        </w:r>
      </w:hyperlink>
      <w:r>
        <w:t xml:space="preserve">] and partly attributed to capability</w:t>
      </w:r>
      <w:r>
        <w:t xml:space="preserve"> </w:t>
      </w:r>
      <w:r>
        <w:t xml:space="preserve">rather than bias [</w:t>
      </w:r>
      <w:hyperlink w:anchor="r24">
        <w:r>
          <w:rPr>
            <w:rStyle w:val="Hyperlink"/>
          </w:rPr>
          <w:t xml:space="preserve">24</w:t>
        </w:r>
      </w:hyperlink>
      <w:r>
        <w:t xml:space="preserve">]; broad taxonomies and surveys [</w:t>
      </w:r>
      <w:hyperlink w:anchor="r17">
        <w:r>
          <w:rPr>
            <w:rStyle w:val="Hyperlink"/>
          </w:rPr>
          <w:t xml:space="preserve">17</w:t>
        </w:r>
      </w:hyperlink>
      <w:r>
        <w:t xml:space="preserve">,</w:t>
      </w:r>
      <w:r>
        <w:t xml:space="preserve"> </w:t>
      </w:r>
      <w:hyperlink w:anchor="r19">
        <w:r>
          <w:rPr>
            <w:rStyle w:val="Hyperlink"/>
          </w:rPr>
          <w:t xml:space="preserve">19</w:t>
        </w:r>
      </w:hyperlink>
      <w:r>
        <w:t xml:space="preserve">,</w:t>
      </w:r>
      <w:r>
        <w:t xml:space="preserve"> </w:t>
      </w:r>
      <w:hyperlink w:anchor="r20">
        <w:r>
          <w:rPr>
            <w:rStyle w:val="Hyperlink"/>
          </w:rPr>
          <w:t xml:space="preserve">20</w:t>
        </w:r>
      </w:hyperlink>
      <w:r>
        <w:t xml:space="preserve">] catalogue position, verbosity, and self-enhancement biases.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individual-judge biases, CoEval makes cross-family composition a</w:t>
      </w:r>
      <w:r>
        <w:t xml:space="preserve"> </w:t>
      </w:r>
      <w:r>
        <w:rPr>
          <w:i/>
          <w:iCs/>
        </w:rPr>
        <w:t xml:space="preserve">design constraint</w:t>
      </w:r>
      <w:r>
        <w:t xml:space="preserve"> </w:t>
      </w:r>
      <w:r>
        <w:t xml:space="preserve">that cancels same-family preference at aggregation, paired with contamination-free generation, so both items and judges</w:t>
      </w:r>
      <w:r>
        <w:t xml:space="preserve"> </w:t>
      </w:r>
      <w:r>
        <w:t xml:space="preserve">are bias-hardened.</w:t>
      </w:r>
    </w:p>
    <w:p>
      <w:pPr>
        <w:pStyle w:val="BodyText"/>
        <w:jc w:val="both"/>
        <w:keepNext w:val="0"/>
        <w:keepLines w:val="0"/>
        <w:widowControl w:val="1"/>
      </w:pPr>
      <w:r>
        <w:t xml:space="preserve">Inferring rater reliability from inter-rater agreement without ground truth dates to</w:t>
      </w:r>
      <w:r>
        <w:t xml:space="preserve"> </w:t>
      </w:r>
      <w:r>
        <w:rPr>
          <w:i/>
          <w:iCs/>
        </w:rPr>
        <w:t xml:space="preserve">Dawid and Skene</w:t>
      </w:r>
      <w:r>
        <w:t xml:space="preserve"> </w:t>
      </w:r>
      <w:r>
        <w:t xml:space="preserve">[</w:t>
      </w:r>
      <w:hyperlink w:anchor="r33">
        <w:r>
          <w:rPr>
            <w:rStyle w:val="Hyperlink"/>
          </w:rPr>
          <w:t xml:space="preserve">33</w:t>
        </w:r>
      </w:hyperlink>
      <w:r>
        <w:t xml:space="preserve">], which CoEval applies to a vendor-disjoint LLM panel (Section 5.2). Recent label-free</w:t>
      </w:r>
      <w:r>
        <w:t xml:space="preserve"> </w:t>
      </w:r>
      <w:r>
        <w:t xml:space="preserve">methods learn per-judge reliability jointly with the ranking from pairwise comparisons (judge-aware Bradley–Terry</w:t>
      </w:r>
      <w:r>
        <w:t xml:space="preserve"> </w:t>
      </w:r>
      <w:r>
        <w:t xml:space="preserve">[</w:t>
      </w:r>
      <w:hyperlink w:anchor="r27">
        <w:r>
          <w:rPr>
            <w:rStyle w:val="Hyperlink"/>
          </w:rPr>
          <w:t xml:space="preserve">27</w:t>
        </w:r>
      </w:hyperlink>
      <w:r>
        <w:t xml:space="preserve">], judge-aware ranking [</w:t>
      </w:r>
      <w:hyperlink w:anchor="r29">
        <w:r>
          <w:rPr>
            <w:rStyle w:val="Hyperlink"/>
          </w:rPr>
          <w:t xml:space="preserve">29</w:t>
        </w:r>
      </w:hyperlink>
      <w:r>
        <w:t xml:space="preserve">]) or separate quality from shared confounders</w:t>
      </w:r>
      <w:r>
        <w:t xml:space="preserve"> </w:t>
      </w:r>
      <w:r>
        <w:t xml:space="preserve">[</w:t>
      </w:r>
      <w:hyperlink w:anchor="r28">
        <w:r>
          <w:rPr>
            <w:rStyle w:val="Hyperlink"/>
          </w:rPr>
          <w:t xml:space="preserve">28</w:t>
        </w:r>
      </w:hyperlink>
      <w:r>
        <w:t xml:space="preserve">]; CoEval's contribution is their</w:t>
      </w:r>
      <w:r>
        <w:t xml:space="preserve"> </w:t>
      </w:r>
      <w:r>
        <w:rPr>
          <w:i/>
          <w:iCs/>
        </w:rPr>
        <w:t xml:space="preserve">integration</w:t>
      </w:r>
      <w:r>
        <w:t xml:space="preserve">, supplying the items themselves (de novo,</w:t>
      </w:r>
      <w:r>
        <w:t xml:space="preserve"> </w:t>
      </w:r>
      <w:r>
        <w:t xml:space="preserve">contamination-free) and scoring them as absolute rubric scores from a</w:t>
      </w:r>
      <w:r>
        <w:t xml:space="preserve"> </w:t>
      </w:r>
      <w:r>
        <w:rPr>
          <w:i/>
          <w:iCs/>
        </w:rPr>
        <w:t xml:space="preserve">vendor-disjoint</w:t>
      </w:r>
      <w:r>
        <w:t xml:space="preserve"> </w:t>
      </w:r>
      <w:r>
        <w:t xml:space="preserve">panel rather than</w:t>
      </w:r>
      <w:r>
        <w:t xml:space="preserve"> </w:t>
      </w:r>
      <w:r>
        <w:t xml:space="preserve">pairwise comparisons from a single-vendor pool, which surfaces the</w:t>
      </w:r>
      <w:r>
        <w:t xml:space="preserve"> </w:t>
      </w:r>
      <w:r>
        <w:rPr>
          <w:i/>
          <w:iCs/>
        </w:rPr>
        <w:t xml:space="preserve">judge-choice regret</w:t>
      </w:r>
      <w:r>
        <w:t xml:space="preserve"> </w:t>
      </w:r>
      <w:r>
        <w:t xml:space="preserve">of Section 5.2: a</w:t>
      </w:r>
      <w:r>
        <w:t xml:space="preserve"> </w:t>
      </w:r>
      <w:r>
        <w:t xml:space="preserve">single judge can be anti-correlated with ground truth where the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19"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 Appendix F shows the pipeline.</w:t>
      </w:r>
    </w:p>
    <w:bookmarkStart w:id="15"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5"/>
    <w:bookmarkStart w:id="16"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6"/>
    <w:bookmarkStart w:id="17"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maximizes</w:t>
      </w:r>
      <w:r>
        <w:t xml:space="preserve"> </w:t>
      </w:r>
      <w:r>
        <w:rPr>
          <w:i/>
          <w:iCs/>
        </w:rPr>
        <w:t xml:space="preserve">vendor-family diversity</w:t>
      </w:r>
      <w:r>
        <w:t xml:space="preserve">, so family-correlated biases (self-preference, shared</w:t>
      </w:r>
      <w:r>
        <w:t xml:space="preserve"> </w:t>
      </w:r>
      <w:r>
        <w:t xml:space="preserve">idiosyncrasies) do not reinforce one another; when per-judge biases have mixed sign, as we observe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claim that</w:t>
      </w:r>
      <w:r>
        <w:t xml:space="preserve"> </w:t>
      </w:r>
      <w:r>
        <w:rPr>
          <w:i/>
          <w:iCs/>
        </w:rPr>
        <w:t xml:space="preserve">composition</w:t>
      </w:r>
      <w:r>
        <w:t xml:space="preserve">, not size, drives reliability: a large same-family panel amplifies a shared bias, a small</w:t>
      </w:r>
      <w:r>
        <w:t xml:space="preserve"> </w:t>
      </w:r>
      <w:r>
        <w:t xml:space="preserve">cross-family panel cancels it. The default aggregator is the unweighted mean, with composition enforced by judge</w:t>
      </w:r>
      <w:r>
        <w:t xml:space="preserve"> </w:t>
      </w:r>
      <w:r>
        <w:rPr>
          <w:i/>
          <w:iCs/>
        </w:rPr>
        <w:t xml:space="preserve">selection</w:t>
      </w:r>
      <w:r>
        <w:t xml:space="preserve"> </w:t>
      </w:r>
      <w:r>
        <w:t xml:space="preserve">(Section 5.2). CoEval also offers an</w:t>
      </w:r>
      <w:r>
        <w:t xml:space="preserve"> </w:t>
      </w:r>
      <w:r>
        <w:rPr>
          <w:i/>
          <w:iCs/>
        </w:rPr>
        <w:t xml:space="preserve">unsupervised reliability-weighted</w:t>
      </w:r>
      <w:r>
        <w:t xml:space="preserve"> </w:t>
      </w:r>
      <w:r>
        <w:t xml:space="preserve">aggregator</w:t>
      </w:r>
      <w:r>
        <w:t xml:space="preserve"> </w:t>
      </w:r>
      <w:r>
        <w:t xml:space="preserve">needing no ground truth (</w:t>
      </w:r>
      <m:oMath>
        <m:sSub>
          <m:e>
            <m:r>
              <m:t>w</m:t>
            </m:r>
          </m:e>
          <m:sub>
            <m:r>
              <m:t>j</m:t>
            </m:r>
          </m:sub>
        </m:sSub>
        <m:r>
          <m:rPr>
            <m:sty m:val="p"/>
          </m:rPr>
          <m:t>∝</m:t>
        </m:r>
        <m:sSub>
          <m:e>
            <m:acc>
              <m:accPr>
                <m:chr m:val="‾"/>
              </m:accPr>
              <m:e>
                <m:r>
                  <m:t>r</m:t>
                </m:r>
              </m:e>
            </m:acc>
          </m:e>
          <m:sub>
            <m:r>
              <m:t>j</m:t>
            </m:r>
          </m:sub>
        </m:sSub>
      </m:oMath>
      <w:r>
        <w:t xml:space="preserve">,</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down-weighting judges that disagree with the</w:t>
      </w:r>
      <w:r>
        <w:t xml:space="preserve"> </w:t>
      </w:r>
      <w:r>
        <w:t xml:space="preserve">panel, and a</w:t>
      </w:r>
      <w:r>
        <w:t xml:space="preserve"> </w:t>
      </w:r>
      <w:r>
        <w:rPr>
          <w:b/>
          <w:bCs/>
        </w:rPr>
        <w:t xml:space="preserve">doubly-robust ranking</w:t>
      </w:r>
      <w:r>
        <w:t xml:space="preserve"> </w:t>
      </w:r>
      <w:r>
        <w:t xml:space="preserve">that additionally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so the ranking leans on items that separate</w:t>
      </w:r>
      <w:r>
        <w:t xml:space="preserve"> </w:t>
      </w:r>
      <w:r>
        <w:t xml:space="preserve">models and judges that agree with the panel, both label-free (model score</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w:t>
      </w:r>
      <w:r>
        <w:t xml:space="preserve"> </w:t>
      </w:r>
      <w:r>
        <w:t xml:space="preserve">normalized; evaluated in Section 5.2).</w:t>
      </w:r>
    </w:p>
    <w:bookmarkEnd w:id="17"/>
    <w:bookmarkStart w:id="18"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18"/>
    <w:bookmarkEnd w:id="19"/>
    <w:bookmarkStart w:id="20"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(per-experiment judge panels are in Appendix F, Table F1). The full study produced</w:t>
      </w:r>
      <w:r>
        <w:t xml:space="preserve"> </w:t>
      </w:r>
      <w:r>
        <w:rPr>
          <w:b/>
          <w:bCs/>
        </w:rPr>
        <w:t xml:space="preserve">7,978 valid evaluations</w:t>
      </w:r>
      <w:r>
        <w:t xml:space="preserve"> </w:t>
      </w:r>
      <w:r>
        <w:t xml:space="preserve">across the four tasks.</w:t>
      </w:r>
    </w:p>
    <w:bookmarkEnd w:id="20"/>
    <w:bookmarkStart w:id="3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(Section 5.2) and, as Appendix E shows, cancels the verbosity bias every single judge</w:t>
      </w:r>
      <w:r>
        <w:t xml:space="preserve"> </w:t>
      </w:r>
      <w:r>
        <w:t xml:space="preserve">carries and structurally avoids self-preference;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4"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1"/>
          <w:type w:val="continuous"/>
          <w:pgSz w:h="16838" w:w="11906"/>
          <w:pgMar w:bottom="1417" w:footer="720" w:gutter="0" w:header="720" w:left="1417" w:right="1417" w:top="1417"/>
          <w:lnNumType w:countBy="1" w:restart="continuous" w:distance="80"/>
          <w:cols w:num="2" w:space="340" w:equalWidth="1"/>
          <w:docGrid w:linePitch="360"/>
        </w:sectPr>
      </w:pPr>
    </w:p>
    <w:p>
      <w:pPr>
        <w:pStyle w:val="TableCaption"/>
        <w:spacing w:before="160" w:after="60" w:line="240" w:lineRule="auto"/>
        <w:jc w:val="center"/>
        <w:keepNext/>
        <w:keepLines/>
        <w:widowControl w:val="1"/>
      </w:pPr>
      <w:r>
        <w:rPr>
          <w:b/>
          <w:i/>
        </w:rPr>
        <w:t>Table 1.</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+0.859</w:t>
            </w:r>
            <w:r>
              <w:rPr>
                <w:rFonts w:ascii="Times New Roman" w:hAnsi="Times New Roman"/>
                <w:sz w:val="19"/>
              </w:rPr>
              <w:t xml:space="preserve"> </w:t>
            </w:r>
            <w:r>
              <w:rPr>
                <w:rFonts w:ascii="Times New Roman" w:hAnsi="Times New Roman"/>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2"/>
          <w:type w:val="continuous"/>
          <w:pgSz w:h="16838" w:w="11906"/>
          <w:pgMar w:bottom="1417" w:footer="720" w:gutter="0" w:header="720" w:left="1417" w:right="1417" w:top="1417"/>
          <w:lnNumType w:countBy="1" w:restart="continuous" w:distance="80"/>
          <w:cols w:num="1" w:space="340"/>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1 and Table 2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2766974" cy="1582050"/>
            <wp:effectExtent b="0" l="0" r="0" t="0"/>
            <wp:docPr descr="CoEval ensemble score versus ground-truth accuracy per model; rankings identical" title="" id="22" name="Picture"/>
            <a:graphic>
              <a:graphicData uri="http://schemas.openxmlformats.org/drawingml/2006/picture">
                <pic:pic>
                  <pic:nvPicPr>
                    <pic:cNvPr descr="figures/f4_correctness_corr.png" id="23" name="Picture"/>
                    <pic:cNvPicPr>
                      <a:picLocks noChangeArrowheads="1" noChangeAspect="1"/>
                    </pic:cNvPicPr>
                  </pic:nvPicPr>
                  <pic:blipFill>
                    <a:blip r:embed="rId21"/>
                    <a:stretch>
                      <a:fillRect/>
                    </a:stretch>
                  </pic:blipFill>
                  <pic:spPr bwMode="auto">
                    <a:xfrm>
                      <a:off x="0" y="0"/>
                      <a:ext cx="2766974" cy="15820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2).</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3"/>
          <w:type w:val="continuous"/>
          <w:pgSz w:h="16838" w:w="11906"/>
          <w:pgMar w:bottom="1417" w:footer="720" w:gutter="0" w:header="720" w:left="1417" w:right="1417" w:top="1417"/>
          <w:lnNumType w:countBy="1" w:restart="continuous" w:distance="80"/>
          <w:cols w:num="2" w:space="340" w:equalWidth="1"/>
          <w:docGrid w:linePitch="360"/>
        </w:sectPr>
      </w:pPr>
    </w:p>
    <w:p>
      <w:pPr>
        <w:pStyle w:val="TableCaption"/>
        <w:spacing w:before="160" w:after="60" w:line="240" w:lineRule="auto"/>
        <w:jc w:val="center"/>
        <w:keepNext/>
        <w:keepLines/>
        <w:widowControl w:val="1"/>
      </w:pPr>
      <w:r>
        <w:rPr>
          <w:b/>
          <w:i/>
        </w:rPr>
        <w:t>Table 2.</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4"/>
          <w:type w:val="continuous"/>
          <w:pgSz w:h="16838" w:w="11906"/>
          <w:pgMar w:bottom="1417" w:footer="720" w:gutter="0" w:header="720" w:left="1417" w:right="1417" w:top="1417"/>
          <w:lnNumType w:countBy="1" w:restart="continuous" w:distance="80"/>
          <w:cols w:num="1" w:space="340"/>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5"/>
          <w:type w:val="continuous"/>
          <w:pgSz w:h="16838" w:w="11906"/>
          <w:pgMar w:bottom="1417" w:footer="720" w:gutter="0" w:header="720" w:left="1417" w:right="1417" w:top="1417"/>
          <w:lnNumType w:countBy="1" w:restart="continuous" w:distance="80"/>
          <w:cols w:num="2" w:space="340"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6"/>
          <w:type w:val="continuous"/>
          <w:pgSz w:h="16838" w:w="11906"/>
          <w:pgMar w:bottom="1417" w:footer="720" w:gutter="0" w:header="720" w:left="1417" w:right="1417" w:top="1417"/>
          <w:lnNumType w:countBy="1" w:restart="continuous" w:distance="80"/>
          <w:cols w:num="1" w:space="340"/>
          <w:docGrid w:linePitch="360"/>
        </w:sectPr>
      </w:pPr>
    </w:p>
    <w:bookmarkEnd w:id="24"/>
    <w:bookmarkStart w:id="28"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2).</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2766974" cy="1821299"/>
            <wp:effectExtent b="0" l="0" r="0" t="0"/>
            <wp:docPr descr="ICC(3,k) versus number of judges, peaking at the selected strong panel" title="" id="26" name="Picture"/>
            <a:graphic>
              <a:graphicData uri="http://schemas.openxmlformats.org/drawingml/2006/picture">
                <pic:pic>
                  <pic:nvPicPr>
                    <pic:cNvPr descr="figures/f2_icc_curve.png" id="27" name="Picture"/>
                    <pic:cNvPicPr>
                      <a:picLocks noChangeArrowheads="1" noChangeAspect="1"/>
                    </pic:cNvPicPr>
                  </pic:nvPicPr>
                  <pic:blipFill>
                    <a:blip r:embed="rId25"/>
                    <a:stretch>
                      <a:fillRect/>
                    </a:stretch>
                  </pic:blipFill>
                  <pic:spPr bwMode="auto">
                    <a:xfrm>
                      <a:off x="0" y="0"/>
                      <a:ext cx="2766974" cy="182129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3),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7"/>
          <w:type w:val="continuous"/>
          <w:pgSz w:h="16838" w:w="11906"/>
          <w:pgMar w:bottom="1417" w:footer="720" w:gutter="0" w:header="720" w:left="1417" w:right="1417" w:top="1417"/>
          <w:lnNumType w:countBy="1" w:restart="continuous" w:distance="80"/>
          <w:cols w:num="2" w:space="340" w:equalWidth="1"/>
          <w:docGrid w:linePitch="360"/>
        </w:sectPr>
      </w:pPr>
    </w:p>
    <w:p>
      <w:pPr>
        <w:pStyle w:val="TableCaption"/>
        <w:spacing w:before="160" w:after="60" w:line="240" w:lineRule="auto"/>
        <w:jc w:val="center"/>
        <w:keepNext/>
        <w:keepLines/>
        <w:widowControl w:val="1"/>
      </w:pPr>
      <w:r>
        <w:rPr>
          <w:b/>
          <w:i/>
        </w:rPr>
        <w:t>Table 3.</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3.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8"/>
          <w:type w:val="continuous"/>
          <w:pgSz w:h="16838" w:w="11906"/>
          <w:pgMar w:bottom="1417" w:footer="720" w:gutter="0" w:header="720" w:left="1417" w:right="1417" w:top="1417"/>
          <w:lnNumType w:countBy="1" w:restart="continuous" w:distance="80"/>
          <w:cols w:num="1" w:space="340"/>
          <w:docGrid w:linePitch="360"/>
        </w:sectPr>
      </w:pPr>
    </w:p>
    <w:p>
      <w:pPr>
        <w:pStyle w:val="BodyText"/>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28"/>
    <w:bookmarkStart w:id="29"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29"/>
    <w:bookmarkStart w:id="30"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We exercise the complete tool in its intended regime on three custom verticals,</w:t>
      </w:r>
      <w:r>
        <w:t xml:space="preserve"> </w:t>
      </w:r>
      <w:r>
        <w:rPr>
          <w:i/>
          <w:iCs/>
        </w:rPr>
        <w:t xml:space="preserve">drug–drug interaction reasoning</w:t>
      </w:r>
      <w:r>
        <w:t xml:space="preserve">,</w:t>
      </w:r>
      <w:r>
        <w:t xml:space="preserve"> </w:t>
      </w:r>
      <w:r>
        <w:rPr>
          <w:i/>
          <w:iCs/>
        </w:rPr>
        <w:t xml:space="preserve">clinical reasoning</w:t>
      </w:r>
      <w:r>
        <w:t xml:space="preserve">, and</w:t>
      </w:r>
      <w:r>
        <w:t xml:space="preserve"> </w:t>
      </w:r>
      <w:r>
        <w:rPr>
          <w:i/>
          <w:iCs/>
        </w:rPr>
        <w:t xml:space="preserve">legal analysis</w:t>
      </w:r>
      <w:r>
        <w:t xml:space="preserve">, for</w:t>
      </w:r>
      <w:r>
        <w:t xml:space="preserve"> </w:t>
      </w:r>
      <w:r>
        <w:t xml:space="preserve">which we assume no task-specific labeled data and no trustworthy public benchmark. From a one-line description</w:t>
      </w:r>
      <w:r>
        <w:t xml:space="preserve"> </w:t>
      </w:r>
      <w:r>
        <w:t xml:space="preserve">each, CoEval generated 40 attribute-stratified items per vertical, three candidates answered, and the</w:t>
      </w:r>
      <w:r>
        <w:t xml:space="preserve"> </w:t>
      </w:r>
      <w:r>
        <w:t xml:space="preserve">cross-family panel scored every response, from one configuration file with no human labels. The panel produces</w:t>
      </w:r>
      <w:r>
        <w:t xml:space="preserve"> </w:t>
      </w:r>
      <w:r>
        <w:t xml:space="preserve">defensible rankings, a fully unanimous order on drug-interaction (</w:t>
      </w:r>
      <w:r>
        <w:rPr>
          <w:rStyle w:val="VerbatimChar"/>
        </w:rPr>
        <w:t xml:space="preserve">gpt-4o-mini</w:t>
      </w:r>
      <w:r>
        <w:t xml:space="preserve"> </w:t>
      </w:r>
      <m:oMath>
        <m:r>
          <m:rPr>
            <m:sty m:val="p"/>
          </m:rPr>
          <m:t>&gt;</m:t>
        </m:r>
      </m:oMath>
      <w:r>
        <w:t xml:space="preserve"> </w:t>
      </w:r>
      <w:r>
        <w:rPr>
          <w:rStyle w:val="VerbatimChar"/>
        </w:rPr>
        <w:t xml:space="preserve">gpt-3.5-turbo</w:t>
      </w:r>
      <w:r>
        <w:t xml:space="preserve"> </w:t>
      </w:r>
      <m:oMath>
        <m:r>
          <m:rPr>
            <m:sty m:val="p"/>
          </m:rPr>
          <m:t>&gt;</m:t>
        </m:r>
      </m:oMath>
      <w:r>
        <w:t xml:space="preserve"> </w:t>
      </w:r>
      <w:r>
        <w:rPr>
          <w:rStyle w:val="VerbatimChar"/>
        </w:rPr>
        <w:t xml:space="preserve">llama-3.2-3b</w:t>
      </w:r>
      <w:r>
        <w:t xml:space="preserve">, non-overlapping CIs) and consistent rankings on clinical</w:t>
      </w:r>
      <w:r>
        <w:t xml:space="preserve"> </w:t>
      </w:r>
      <w:r>
        <w:t xml:space="preserve">and legal, with</w:t>
      </w:r>
      <w:r>
        <w:t xml:space="preserve"> </w:t>
      </w:r>
      <m:oMath>
        <m:r>
          <m:t>71</m:t>
        </m:r>
        <m:r>
          <m:rPr>
            <m:sty m:val="p"/>
          </m:rPr>
          <m:t>%</m:t>
        </m:r>
      </m:oMath>
      <w:r>
        <w:t xml:space="preserve"> </w:t>
      </w:r>
      <w:r>
        <w:t xml:space="preserve">of generated items discriminative. Appendix G reports the full results</w:t>
      </w:r>
      <w:r>
        <w:t xml:space="preserve"> </w:t>
      </w:r>
      <w:r>
        <w:t xml:space="preserve">(Table G1) and Appendix C the generated artifacts.</w:t>
      </w:r>
    </w:p>
    <w:p>
      <w:pPr>
        <w:pStyle w:val="BodyText"/>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0"/>
    <w:bookmarkEnd w:id="31"/>
    <w:bookmarkStart w:id="3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common predicament: ranking models for a task or domain when no labeled data exists and public</w:t>
      </w:r>
      <w:r>
        <w:t xml:space="preserve"> </w:t>
      </w:r>
      <w:r>
        <w:t xml:space="preserve">benchmarks cannot be trusted. The results show it meets that need, its label-free scores reproduce the true ranking,</w:t>
      </w:r>
      <w:r>
        <w:t xml:space="preserve"> </w:t>
      </w:r>
      <w:r>
        <w:t xml:space="preserve">track ground truth, and agree with human judgments (Section 5.1), and its items are verifiably fresh. The key</w:t>
      </w:r>
      <w:r>
        <w:t xml:space="preserve"> </w:t>
      </w:r>
      <w:r>
        <w:t xml:space="preserve">enabler is itself a contribution: the reliability of an LLM-judge panel is governed by its</w:t>
      </w:r>
      <w:r>
        <w:t xml:space="preserve"> </w:t>
      </w:r>
      <w:r>
        <w:rPr>
          <w:i/>
          <w:iCs/>
        </w:rPr>
        <w:t xml:space="preserve">composition</w:t>
      </w:r>
      <w:r>
        <w:t xml:space="preserve">, not its</w:t>
      </w:r>
      <w:r>
        <w:t xml:space="preserve"> </w:t>
      </w:r>
      <w:r>
        <w:t xml:space="preserve">size. A cross-family panel cancels the mixed-sign biases (verbosity, self-preference) any individual judge carries,</w:t>
      </w:r>
      <w:r>
        <w:t xml:space="preserve"> </w:t>
      </w:r>
      <w:r>
        <w:t xml:space="preserve">where a same-family panel would amplify a shared one, and a modest diverse panel already recovers most of the</w:t>
      </w:r>
      <w:r>
        <w:t xml:space="preserve"> </w:t>
      </w:r>
      <w:r>
        <w:t xml:space="preserve">full-panel reliability, so practitioners should prioritize vendor diversity over more copies of similar judges.</w:t>
      </w:r>
    </w:p>
    <w:p>
      <w:pPr>
        <w:pStyle w:val="BodyText"/>
        <w:jc w:val="both"/>
        <w:keepNext w:val="0"/>
        <w:keepLines w:val="0"/>
        <w:widowControl w:val="1"/>
      </w:pPr>
      <w:r>
        <w:t xml:space="preserve">Coupling the panel to attribute-stratified generation makes CoEval more than a better judge: because items are</w:t>
      </w:r>
      <w:r>
        <w:t xml:space="preserve"> </w:t>
      </w:r>
      <w:r>
        <w:t xml:space="preserve">synthesized fresh on every run, it sidesteps contamination structurally rather than chasing leaked items, and targets</w:t>
      </w:r>
      <w:r>
        <w:t xml:space="preserve"> </w:t>
      </w:r>
      <w:r>
        <w:t xml:space="preserve">the deployment's own distribution rather than a generic average. The same role separation that secures</w:t>
      </w:r>
      <w:r>
        <w:t xml:space="preserve"> </w:t>
      </w:r>
      <w:r>
        <w:t xml:space="preserve">contamination-freeness also precludes same-family self-preference, one architectural choice closing two leakage</w:t>
      </w:r>
      <w:r>
        <w:t xml:space="preserve"> </w:t>
      </w:r>
      <w:r>
        <w:t xml:space="preserve">channels, and a single declarative configuration regenerates the benchmark, responses, and scores.</w:t>
      </w:r>
    </w:p>
    <w:bookmarkEnd w:id="32"/>
    <w:bookmarkStart w:id="3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3"/>
    <w:bookmarkStart w:id="34"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4"/>
    <w:bookmarkStart w:id="35"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5"/>
    <w:bookmarkStart w:id="36"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6"/>
    <w:bookmarkStart w:id="113"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 </w:t>
      </w:r>
      <w:bookmarkStart w:id="38"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37">
        <w:r>
          <w:rPr>
            <w:rStyle w:val="Hyperlink"/>
          </w:rPr>
          <w:t xml:space="preserve">arxiv.org/abs/2306.05685</w:t>
        </w:r>
      </w:hyperlink>
      <w:bookmarkEnd w:id="3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 </w:t>
      </w:r>
      <w:bookmarkStart w:id="40"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39">
        <w:r>
          <w:rPr>
            <w:rStyle w:val="Hyperlink"/>
          </w:rPr>
          <w:t xml:space="preserve">arxiv.org/abs/2303.16634</w:t>
        </w:r>
      </w:hyperlink>
      <w:bookmarkEnd w:id="4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 </w:t>
      </w:r>
      <w:bookmarkStart w:id="42"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1">
        <w:r>
          <w:rPr>
            <w:rStyle w:val="Hyperlink"/>
          </w:rPr>
          <w:t xml:space="preserve">arxiv.org/abs/2405.01535</w:t>
        </w:r>
      </w:hyperlink>
      <w:bookmarkEnd w:id="4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4. </w:t>
      </w:r>
      <w:bookmarkStart w:id="44"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3">
        <w:r>
          <w:rPr>
            <w:rStyle w:val="Hyperlink"/>
          </w:rPr>
          <w:t xml:space="preserve">arxiv.org/abs/2407.10817</w:t>
        </w:r>
      </w:hyperlink>
      <w:bookmarkEnd w:id="4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5. </w:t>
      </w:r>
      <w:bookmarkStart w:id="46"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5">
        <w:r>
          <w:rPr>
            <w:rStyle w:val="Hyperlink"/>
          </w:rPr>
          <w:t xml:space="preserve">arxiv.org/abs/2404.18796</w:t>
        </w:r>
      </w:hyperlink>
      <w:bookmarkEnd w:id="4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6. </w:t>
      </w:r>
      <w:bookmarkStart w:id="48"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47">
        <w:r>
          <w:rPr>
            <w:rStyle w:val="Hyperlink"/>
          </w:rPr>
          <w:t xml:space="preserve">arxiv.org/abs/2410.12784</w:t>
        </w:r>
      </w:hyperlink>
      <w:bookmarkEnd w:id="4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7. </w:t>
      </w:r>
      <w:bookmarkStart w:id="50"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49">
        <w:r>
          <w:rPr>
            <w:rStyle w:val="Hyperlink"/>
          </w:rPr>
          <w:t xml:space="preserve">arxiv.org/abs/2406.05761</w:t>
        </w:r>
      </w:hyperlink>
      <w:bookmarkEnd w:id="5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8. </w:t>
      </w:r>
      <w:bookmarkStart w:id="52"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1">
        <w:r>
          <w:rPr>
            <w:rStyle w:val="Hyperlink"/>
          </w:rPr>
          <w:t xml:space="preserve">arxiv.org/abs/2404.04475</w:t>
        </w:r>
      </w:hyperlink>
      <w:bookmarkEnd w:id="5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9. </w:t>
      </w:r>
      <w:bookmarkStart w:id="54" w:name="r9"/>
      <w:r>
        <w:t xml:space="preserve">Li, X. L., Kazemi, M., et al. (2024).</w:t>
      </w:r>
      <w:r>
        <w:t xml:space="preserve"> </w:t>
      </w:r>
      <w:r>
        <w:rPr>
          <w:i/>
          <w:iCs/>
        </w:rPr>
        <w:t xml:space="preserve">AutoBencher: Towards Declarative Benchmark Construction.</w:t>
      </w:r>
      <w:r>
        <w:t xml:space="preserve"> </w:t>
      </w:r>
      <w:hyperlink r:id="rId53">
        <w:r>
          <w:rPr>
            <w:rStyle w:val="Hyperlink"/>
          </w:rPr>
          <w:t xml:space="preserve">arxiv.org/abs/2407.08351</w:t>
        </w:r>
      </w:hyperlink>
      <w:bookmarkEnd w:id="5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10. </w:t>
      </w:r>
      <w:bookmarkStart w:id="56"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5">
        <w:r>
          <w:rPr>
            <w:rStyle w:val="Hyperlink"/>
          </w:rPr>
          <w:t xml:space="preserve">arxiv.org/abs/2410.22584</w:t>
        </w:r>
      </w:hyperlink>
      <w:bookmarkEnd w:id="5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11. </w:t>
      </w:r>
      <w:bookmarkStart w:id="58" w:name="r11"/>
      <w:r>
        <w:t xml:space="preserve">Shashidhar, S., et al. (2025).</w:t>
      </w:r>
      <w:r>
        <w:t xml:space="preserve"> </w:t>
      </w:r>
      <w:r>
        <w:rPr>
          <w:i/>
          <w:iCs/>
        </w:rPr>
        <w:t xml:space="preserve">YourBench: Easy Custom Evaluation Sets for Everyone.</w:t>
      </w:r>
      <w:r>
        <w:t xml:space="preserve"> </w:t>
      </w:r>
      <w:hyperlink r:id="rId57">
        <w:r>
          <w:rPr>
            <w:rStyle w:val="Hyperlink"/>
          </w:rPr>
          <w:t xml:space="preserve">arxiv.org/abs/2504.01833</w:t>
        </w:r>
      </w:hyperlink>
      <w:bookmarkEnd w:id="5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12. </w:t>
      </w:r>
      <w:bookmarkStart w:id="60"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59">
        <w:r>
          <w:rPr>
            <w:rStyle w:val="Hyperlink"/>
          </w:rPr>
          <w:t xml:space="preserve">arxiv.org/abs/2405.00332</w:t>
        </w:r>
      </w:hyperlink>
      <w:bookmarkEnd w:id="6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13. </w:t>
      </w:r>
      <w:bookmarkStart w:id="62" w:name="r13"/>
      <w:r>
        <w:t xml:space="preserve">Xu, C., et al. (2025).</w:t>
      </w:r>
      <w:r>
        <w:t xml:space="preserve"> </w:t>
      </w:r>
      <w:r>
        <w:rPr>
          <w:i/>
          <w:iCs/>
        </w:rPr>
        <w:t xml:space="preserve">Benchmark Data Contamination of Large Language Models: A Survey.</w:t>
      </w:r>
      <w:r>
        <w:t xml:space="preserve"> </w:t>
      </w:r>
      <w:hyperlink r:id="rId61">
        <w:r>
          <w:rPr>
            <w:rStyle w:val="Hyperlink"/>
          </w:rPr>
          <w:t xml:space="preserve">arxiv.org/abs/2502.14425</w:t>
        </w:r>
      </w:hyperlink>
      <w:bookmarkEnd w:id="6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14. </w:t>
      </w:r>
      <w:bookmarkStart w:id="64"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3">
        <w:r>
          <w:rPr>
            <w:rStyle w:val="Hyperlink"/>
          </w:rPr>
          <w:t xml:space="preserve">arxiv.org/abs/2104.14337</w:t>
        </w:r>
      </w:hyperlink>
      <w:bookmarkEnd w:id="6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15. </w:t>
      </w:r>
      <w:bookmarkStart w:id="66"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5">
        <w:r>
          <w:rPr>
            <w:rStyle w:val="Hyperlink"/>
          </w:rPr>
          <w:t xml:space="preserve">arxiv.org/abs/2502.01534</w:t>
        </w:r>
      </w:hyperlink>
      <w:bookmarkEnd w:id="6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16. </w:t>
      </w:r>
      <w:bookmarkStart w:id="68"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67">
        <w:r>
          <w:rPr>
            <w:rStyle w:val="Hyperlink"/>
          </w:rPr>
          <w:t xml:space="preserve">arxiv.org/abs/2508.06709</w:t>
        </w:r>
      </w:hyperlink>
      <w:bookmarkEnd w:id="6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17. </w:t>
      </w:r>
      <w:bookmarkStart w:id="70"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69">
        <w:r>
          <w:rPr>
            <w:rStyle w:val="Hyperlink"/>
          </w:rPr>
          <w:t xml:space="preserve">arxiv.org/abs/2410.02736</w:t>
        </w:r>
      </w:hyperlink>
      <w:bookmarkEnd w:id="7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18. </w:t>
      </w:r>
      <w:bookmarkStart w:id="72" w:name="r18"/>
      <w:r>
        <w:t xml:space="preserve">Wataoka, K., Takahashi, T., Ri, R. (2024).</w:t>
      </w:r>
      <w:r>
        <w:t xml:space="preserve"> </w:t>
      </w:r>
      <w:r>
        <w:rPr>
          <w:i/>
          <w:iCs/>
        </w:rPr>
        <w:t xml:space="preserve">Self-Preference Bias in LLM-as-a-Judge.</w:t>
      </w:r>
      <w:r>
        <w:t xml:space="preserve"> </w:t>
      </w:r>
      <w:hyperlink r:id="rId71">
        <w:r>
          <w:rPr>
            <w:rStyle w:val="Hyperlink"/>
          </w:rPr>
          <w:t xml:space="preserve">arxiv.org/abs/2410.21819</w:t>
        </w:r>
      </w:hyperlink>
      <w:bookmarkEnd w:id="7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19. </w:t>
      </w:r>
      <w:bookmarkStart w:id="74" w:name="r19"/>
      <w:r>
        <w:t xml:space="preserve">Gu, J., Jiang, X., Shi, Z., et al. (2024).</w:t>
      </w:r>
      <w:r>
        <w:t xml:space="preserve"> </w:t>
      </w:r>
      <w:r>
        <w:rPr>
          <w:i/>
          <w:iCs/>
        </w:rPr>
        <w:t xml:space="preserve">A Survey on LLM-as-a-Judge.</w:t>
      </w:r>
      <w:r>
        <w:t xml:space="preserve"> </w:t>
      </w:r>
      <w:hyperlink r:id="rId73">
        <w:r>
          <w:rPr>
            <w:rStyle w:val="Hyperlink"/>
          </w:rPr>
          <w:t xml:space="preserve">arxiv.org/abs/2411.15594</w:t>
        </w:r>
      </w:hyperlink>
      <w:bookmarkEnd w:id="7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20. </w:t>
      </w:r>
      <w:bookmarkStart w:id="76"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5">
        <w:r>
          <w:rPr>
            <w:rStyle w:val="Hyperlink"/>
          </w:rPr>
          <w:t xml:space="preserve">arxiv.org/abs/2411.16594</w:t>
        </w:r>
      </w:hyperlink>
      <w:bookmarkEnd w:id="7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21. </w:t>
      </w:r>
      <w:bookmarkStart w:id="78"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77">
        <w:r>
          <w:rPr>
            <w:rStyle w:val="Hyperlink"/>
          </w:rPr>
          <w:t xml:space="preserve">arxiv.org/abs/2308.07201</w:t>
        </w:r>
      </w:hyperlink>
      <w:bookmarkEnd w:id="7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22. </w:t>
      </w:r>
      <w:bookmarkStart w:id="80"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79">
        <w:r>
          <w:rPr>
            <w:rStyle w:val="Hyperlink"/>
          </w:rPr>
          <w:t xml:space="preserve">arxiv.org/abs/2406.19314</w:t>
        </w:r>
      </w:hyperlink>
      <w:bookmarkEnd w:id="8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23. </w:t>
      </w:r>
      <w:bookmarkStart w:id="82"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1">
        <w:r>
          <w:rPr>
            <w:rStyle w:val="Hyperlink"/>
          </w:rPr>
          <w:t xml:space="preserve">arxiv.org/abs/2403.07974</w:t>
        </w:r>
      </w:hyperlink>
      <w:bookmarkEnd w:id="8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24. </w:t>
      </w:r>
      <w:bookmarkStart w:id="84"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3">
        <w:r>
          <w:rPr>
            <w:rStyle w:val="Hyperlink"/>
          </w:rPr>
          <w:t xml:space="preserve">arxiv.org/abs/2504.03846</w:t>
        </w:r>
      </w:hyperlink>
      <w:bookmarkEnd w:id="8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25. </w:t>
      </w:r>
      <w:bookmarkStart w:id="86"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5">
        <w:r>
          <w:rPr>
            <w:rStyle w:val="Hyperlink"/>
          </w:rPr>
          <w:t xml:space="preserve">arxiv.org/abs/2408.08808</w:t>
        </w:r>
      </w:hyperlink>
      <w:bookmarkEnd w:id="8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26. </w:t>
      </w:r>
      <w:bookmarkStart w:id="88" w:name="r26"/>
      <w:r>
        <w:t xml:space="preserve">Li, Y., et al. (2025).</w:t>
      </w:r>
      <w:r>
        <w:t xml:space="preserve"> </w:t>
      </w:r>
      <w:r>
        <w:rPr>
          <w:i/>
          <w:iCs/>
        </w:rPr>
        <w:t xml:space="preserve">Leveraging LLMs as Meta-Judges: A Multi-Agent Framework.</w:t>
      </w:r>
      <w:r>
        <w:t xml:space="preserve"> </w:t>
      </w:r>
      <w:hyperlink r:id="rId87">
        <w:r>
          <w:rPr>
            <w:rStyle w:val="Hyperlink"/>
          </w:rPr>
          <w:t xml:space="preserve">arxiv.org/abs/2504.17087</w:t>
        </w:r>
      </w:hyperlink>
      <w:bookmarkEnd w:id="8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27. </w:t>
      </w:r>
      <w:bookmarkStart w:id="90"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89">
        <w:r>
          <w:rPr>
            <w:rStyle w:val="Hyperlink"/>
          </w:rPr>
          <w:t xml:space="preserve">arxiv.org/abs/2602.16610</w:t>
        </w:r>
      </w:hyperlink>
      <w:bookmarkEnd w:id="9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28. </w:t>
      </w:r>
      <w:bookmarkStart w:id="92"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1">
        <w:r>
          <w:rPr>
            <w:rStyle w:val="Hyperlink"/>
          </w:rPr>
          <w:t xml:space="preserve">arxiv.org/abs/2603.00039</w:t>
        </w:r>
      </w:hyperlink>
      <w:bookmarkEnd w:id="9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29. </w:t>
      </w:r>
      <w:bookmarkStart w:id="94"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3">
        <w:r>
          <w:rPr>
            <w:rStyle w:val="Hyperlink"/>
          </w:rPr>
          <w:t xml:space="preserve">arxiv.org/abs/2601.21817</w:t>
        </w:r>
      </w:hyperlink>
      <w:bookmarkEnd w:id="9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30. </w:t>
      </w:r>
      <w:bookmarkStart w:id="96"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5">
        <w:r>
          <w:rPr>
            <w:rStyle w:val="Hyperlink"/>
          </w:rPr>
          <w:t xml:space="preserve">arxiv.org/abs/2502.14678</w:t>
        </w:r>
      </w:hyperlink>
      <w:bookmarkEnd w:id="9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31. </w:t>
      </w:r>
      <w:bookmarkStart w:id="98"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97">
        <w:r>
          <w:rPr>
            <w:rStyle w:val="Hyperlink"/>
          </w:rPr>
          <w:t xml:space="preserve">arxiv.org/abs/2501.12789</w:t>
        </w:r>
      </w:hyperlink>
      <w:bookmarkEnd w:id="9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32. </w:t>
      </w:r>
      <w:bookmarkStart w:id="100"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99">
        <w:r>
          <w:rPr>
            <w:rStyle w:val="Hyperlink"/>
          </w:rPr>
          <w:t xml:space="preserve">arxiv.org/abs/2502.17521</w:t>
        </w:r>
      </w:hyperlink>
      <w:bookmarkEnd w:id="10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33. </w:t>
      </w:r>
      <w:bookmarkStart w:id="102"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1">
        <w:r>
          <w:rPr>
            <w:rStyle w:val="Hyperlink"/>
          </w:rPr>
          <w:t xml:space="preserve">doi.org/10.2307/2346806</w:t>
        </w:r>
      </w:hyperlink>
      <w:bookmarkEnd w:id="10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34. </w:t>
      </w:r>
      <w:bookmarkStart w:id="104"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3">
        <w:r>
          <w:rPr>
            <w:rStyle w:val="Hyperlink"/>
          </w:rPr>
          <w:t xml:space="preserve">arxiv.org/abs/2306.05087</w:t>
        </w:r>
      </w:hyperlink>
      <w:bookmarkEnd w:id="10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35. </w:t>
      </w:r>
      <w:bookmarkStart w:id="106"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5">
        <w:r>
          <w:rPr>
            <w:rStyle w:val="Hyperlink"/>
          </w:rPr>
          <w:t xml:space="preserve">arxiv.org/abs/2310.17631</w:t>
        </w:r>
      </w:hyperlink>
      <w:bookmarkEnd w:id="10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36. </w:t>
      </w:r>
      <w:bookmarkStart w:id="108"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07">
        <w:r>
          <w:rPr>
            <w:rStyle w:val="Hyperlink"/>
          </w:rPr>
          <w:t xml:space="preserve">arxiv.org/abs/2310.16789</w:t>
        </w:r>
      </w:hyperlink>
      <w:bookmarkEnd w:id="10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37. </w:t>
      </w:r>
      <w:bookmarkStart w:id="110"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09">
        <w:r>
          <w:rPr>
            <w:rStyle w:val="Hyperlink"/>
          </w:rPr>
          <w:t xml:space="preserve">arxiv.org/abs/2007.12626</w:t>
        </w:r>
      </w:hyperlink>
      <w:bookmarkEnd w:id="11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38. </w:t>
      </w:r>
      <w:bookmarkStart w:id="112"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1">
        <w:r>
          <w:rPr>
            <w:rStyle w:val="Hyperlink"/>
          </w:rPr>
          <w:t xml:space="preserve">arxiv.org/abs/2310.07641</w:t>
        </w:r>
      </w:hyperlink>
      <w:bookmarkEnd w:id="112"/>
    </w:p>
    <w:bookmarkEnd w:id="113"/>
    <w:bookmarkStart w:id="114"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4"/>
    <w:bookmarkStart w:id="118"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098659" cy="1828800"/>
            <wp:effectExtent b="0" l="0" r="0" t="0"/>
            <wp:docPr descr="Heatmap of pairwise semantic similarity between auto-generated rubric criteria" title="" id="116" name="Picture"/>
            <a:graphic>
              <a:graphicData uri="http://schemas.openxmlformats.org/drawingml/2006/picture">
                <pic:pic>
                  <pic:nvPicPr>
                    <pic:cNvPr descr="figures/f5_rubric_heatmap.png" id="117" name="Picture"/>
                    <pic:cNvPicPr>
                      <a:picLocks noChangeArrowheads="1" noChangeAspect="1"/>
                    </pic:cNvPicPr>
                  </pic:nvPicPr>
                  <pic:blipFill>
                    <a:blip r:embed="rId115"/>
                    <a:stretch>
                      <a:fillRect/>
                    </a:stretch>
                  </pic:blipFill>
                  <pic:spPr bwMode="auto">
                    <a:xfrm>
                      <a:off x="0" y="0"/>
                      <a:ext cx="2098659"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8"/>
    <w:bookmarkStart w:id="119"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G1).</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9"/>
          <w:type w:val="continuous"/>
          <w:pgSz w:h="16838" w:w="11906"/>
          <w:pgMar w:bottom="1417" w:footer="720" w:gutter="0" w:header="720" w:left="1417" w:right="1417" w:top="1417"/>
          <w:lnNumType w:countBy="1" w:restart="continuous" w:distance="80"/>
          <w:cols w:num="2" w:space="340" w:equalWidth="1"/>
          <w:docGrid w:linePitch="360"/>
        </w:sectPr>
      </w:pPr>
    </w:p>
    <w:p>
      <w:pPr>
        <w:pStyle w:val="TableCaption"/>
        <w:spacing w:before="16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Drug–drug interaction reasoning</w:t>
            </w:r>
            <w:r>
              <w:rPr>
                <w:rFonts w:ascii="Times New Roman" w:hAnsi="Times New Roman"/>
                <w:sz w:val="19"/>
              </w:rPr>
              <w:br/>
            </w:r>
            <w:r>
              <w:rPr>
                <w:rFonts w:ascii="Times New Roman" w:hAnsi="Times New Roman"/>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severity {contraindicated, major, moderate, minor}; mechanism {pharmacokinetic, pharmacodynamic};</w:t>
            </w:r>
            <w:r>
              <w:rPr>
                <w:rFonts w:ascii="Times New Roman" w:hAnsi="Times New Roman"/>
                <w:sz w:val="19"/>
              </w:rPr>
              <w:t xml:space="preserve"> </w:t>
            </w:r>
            <w:r>
              <w:rPr>
                <w:rFonts w:ascii="Times New Roman" w:hAnsi="Times New Roman"/>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Clinical reasoning</w:t>
            </w:r>
            <w:r>
              <w:rPr>
                <w:rFonts w:ascii="Times New Roman" w:hAnsi="Times New Roman"/>
                <w:sz w:val="19"/>
              </w:rPr>
              <w:br/>
            </w:r>
            <w:r>
              <w:rPr>
                <w:rFonts w:ascii="Times New Roman" w:hAnsi="Times New Roman"/>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Legal analysis</w:t>
            </w:r>
            <w:r>
              <w:rPr>
                <w:rFonts w:ascii="Times New Roman" w:hAnsi="Times New Roman"/>
                <w:sz w:val="19"/>
              </w:rPr>
              <w:br/>
            </w:r>
            <w:r>
              <w:rPr>
                <w:rFonts w:ascii="Times New Roman" w:hAnsi="Times New Roman"/>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0"/>
          <w:type w:val="continuous"/>
          <w:pgSz w:h="16838" w:w="11906"/>
          <w:pgMar w:bottom="1417" w:footer="720" w:gutter="0" w:header="720" w:left="1417" w:right="1417" w:top="1417"/>
          <w:lnNumType w:countBy="1" w:restart="continuous" w:distance="80"/>
          <w:cols w:num="1" w:space="340"/>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G1.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9"/>
    <w:bookmarkStart w:id="120"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2"/>
          <w:type w:val="continuous"/>
          <w:pgSz w:h="16838" w:w="11906"/>
          <w:pgMar w:bottom="1417" w:footer="720" w:gutter="0" w:header="720" w:left="1417" w:right="1417" w:top="1417"/>
          <w:lnNumType w:countBy="1" w:restart="continuous" w:distance="80"/>
          <w:cols w:num="2" w:space="340" w:equalWidth="1"/>
          <w:docGrid w:linePitch="360"/>
        </w:sectPr>
      </w:pPr>
    </w:p>
    <w:p>
      <w:pPr>
        <w:pStyle w:val="TableCaption"/>
        <w:spacing w:before="16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3"/>
          <w:type w:val="continuous"/>
          <w:pgSz w:h="16838" w:w="11906"/>
          <w:pgMar w:bottom="1417" w:footer="720" w:gutter="0" w:header="720" w:left="1417" w:right="1417" w:top="1417"/>
          <w:lnNumType w:countBy="1" w:restart="continuous" w:distance="80"/>
          <w:cols w:num="1" w:space="340"/>
          <w:docGrid w:linePitch="360"/>
        </w:sectPr>
      </w:pPr>
    </w:p>
    <w:bookmarkEnd w:id="120"/>
    <w:bookmarkStart w:id="121"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4"/>
          <w:type w:val="continuous"/>
          <w:pgSz w:h="16838" w:w="11906"/>
          <w:pgMar w:bottom="1417" w:footer="720" w:gutter="0" w:header="720" w:left="1417" w:right="1417" w:top="1417"/>
          <w:lnNumType w:countBy="1" w:restart="continuous" w:distance="80"/>
          <w:cols w:num="2" w:space="340" w:equalWidth="1"/>
          <w:docGrid w:linePitch="360"/>
        </w:sectPr>
      </w:pPr>
    </w:p>
    <w:p>
      <w:pPr>
        <w:pStyle w:val="TableCaption"/>
        <w:spacing w:before="16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w:t>
            </w:r>
            <w:r>
              <w:rPr>
                <w:rFonts w:ascii="Times New Roman" w:hAnsi="Times New Roman"/>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[−0.039, +0.057]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6"/>
          <w:type w:val="continuous"/>
          <w:pgSz w:h="16838" w:w="11906"/>
          <w:pgMar w:bottom="1417" w:footer="720" w:gutter="0" w:header="720" w:left="1417" w:right="1417" w:top="1417"/>
          <w:lnNumType w:countBy="1" w:restart="continuous" w:distance="80"/>
          <w:cols w:num="1" w:space="340"/>
          <w:docGrid w:linePitch="360"/>
        </w:sectPr>
      </w:pPr>
    </w:p>
    <w:p>
      <w:pPr>
        <w:pStyle w:val="BodyText"/>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 2 and Table G1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1"/>
    <w:bookmarkStart w:id="125" w:name="appF"/>
    <w:p>
      <w:pPr>
        <w:pStyle w:val="Heading2"/>
        <w:keepNext/>
        <w:keepLines/>
        <w:widowControl w:val="1"/>
      </w:pPr>
      <w:r>
        <w:t xml:space="preserve">Appendix F. System overview and experimental configuration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7"/>
          <w:type w:val="continuous"/>
          <w:pgSz w:h="16838" w:w="11906"/>
          <w:pgMar w:bottom="1417" w:footer="720" w:gutter="0" w:header="720" w:left="1417" w:right="1417" w:top="1417"/>
          <w:lnNumType w:countBy="1" w:restart="continuous" w:distance="80"/>
          <w:cols w:num="2" w:space="340" w:equalWidth="1"/>
          <w:docGrid w:linePitch="360"/>
        </w:sectPr>
      </w:pPr>
    </w:p>
    <w:p>
      <w:pPr>
        <w:pStyle w:val="BodyText"/>
        <w:jc w:val="center"/>
        <w:keepNext/>
        <w:keepLines/>
        <w:widowControl w:val="1"/>
      </w:pPr>
      <w:r>
        <w:drawing>
          <wp:inline>
            <wp:extent cx="5660774" cy="1828800"/>
            <wp:effectExtent b="0" l="0" r="0" t="0"/>
            <wp:docPr descr="CoEval five-phase pipeline with teacher, student, and judge role bands" title="" id="123" name="Picture"/>
            <a:graphic>
              <a:graphicData uri="http://schemas.openxmlformats.org/drawingml/2006/picture">
                <pic:pic>
                  <pic:nvPicPr>
                    <pic:cNvPr descr="figures/f1_architecture.png" id="124" name="Picture"/>
                    <pic:cNvPicPr>
                      <a:picLocks noChangeArrowheads="1" noChangeAspect="1"/>
                    </pic:cNvPicPr>
                  </pic:nvPicPr>
                  <pic:blipFill>
                    <a:blip r:embed="rId122"/>
                    <a:stretch>
                      <a:fillRect/>
                    </a:stretch>
                  </pic:blipFill>
                  <pic:spPr bwMode="auto">
                    <a:xfrm>
                      <a:off x="0" y="0"/>
                      <a:ext cx="5660774"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pStyle w:val="TableCaption"/>
        <w:spacing w:before="160" w:after="60" w:line="240" w:lineRule="auto"/>
        <w:jc w:val="center"/>
        <w:keepNext/>
        <w:keepLines/>
        <w:widowControl w:val="1"/>
      </w:pPr>
      <w:r>
        <w:rPr>
          <w:b/>
          <w:i/>
        </w:rPr>
        <w:t>Table F1.</w:t>
      </w:r>
      <w:r>
        <w:rPr>
          <w:b w:val="0"/>
          <w:i/>
        </w:rPr>
        <w:t xml:space="preserve"> </w:t>
      </w:r>
      <w:r>
        <w:rPr>
          <w:b w:val="0"/>
          <w:i/>
        </w:rPr>
        <w:t>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F1. 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 App. E,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5.4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memorized / 100 fresh</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8"/>
          <w:type w:val="continuous"/>
          <w:pgSz w:h="16838" w:w="11906"/>
          <w:pgMar w:bottom="1417" w:footer="720" w:gutter="0" w:header="720" w:left="1417" w:right="1417" w:top="1417"/>
          <w:lnNumType w:countBy="1" w:restart="continuous" w:distance="80"/>
          <w:cols w:num="1" w:space="340"/>
          <w:docGrid w:linePitch="360"/>
        </w:sectPr>
      </w:pPr>
    </w:p>
    <w:bookmarkEnd w:id="125"/>
    <w:bookmarkStart w:id="126" w:name="appG"/>
    <w:p>
      <w:pPr>
        <w:pStyle w:val="Heading2"/>
        <w:keepNext/>
        <w:keepLines/>
        <w:widowControl w:val="1"/>
      </w:pPr>
      <w:r>
        <w:t xml:space="preserve">Appendix G. Domain case studies (full results)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G1).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9"/>
          <w:type w:val="continuous"/>
          <w:pgSz w:h="16838" w:w="11906"/>
          <w:pgMar w:bottom="1417" w:footer="720" w:gutter="0" w:header="720" w:left="1417" w:right="1417" w:top="1417"/>
          <w:lnNumType w:countBy="1" w:restart="continuous" w:distance="80"/>
          <w:cols w:num="2" w:space="340" w:equalWidth="1"/>
          <w:docGrid w:linePitch="360"/>
        </w:sectPr>
      </w:pPr>
    </w:p>
    <w:p>
      <w:pPr>
        <w:pStyle w:val="TableCaption"/>
        <w:spacing w:before="160" w:after="60" w:line="240" w:lineRule="auto"/>
        <w:jc w:val="center"/>
        <w:keepNext/>
        <w:keepLines/>
        <w:widowControl w:val="1"/>
      </w:pPr>
      <w:r>
        <w:rPr>
          <w:b/>
          <w:i/>
        </w:rPr>
        <w:t>Table G1.</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G1.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0.709 [0.677, 0.744]</w:t>
            </w:r>
          </w:p>
        </w:tc>
      </w:tr>
    </w:tbl>
    <w:bookmarkEnd w:id="126"/>
    <w:sectPr w:rsidR="00FC693F" w:rsidRPr="0006063C" w:rsidSect="00034616">
      <w:headerReference w:type="default" r:id="rId30"/>
      <w:type w:val="continuous"/>
      <w:pgSz w:h="16838" w:w="11906"/>
      <w:pgMar w:bottom="1417" w:footer="720" w:gutter="0" w:header="720" w:left="1417" w:right="1417" w:top="1417"/>
      <w:lnNumType w:countBy="1" w:restart="continuous" w:distance="80"/>
      <w:cols w:num="1" w:space="34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styleId="LineNumber">
    <w:name w:val="Line Number"/>
    <w:rPr>
      <w:rFonts w:ascii="Times New Roman" w:hAnsi="Times New Roman"/>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2" Type="http://schemas.openxmlformats.org/officeDocument/2006/relationships/image" Target="media/rId122.png"/><Relationship Id="rId25" Type="http://schemas.openxmlformats.org/officeDocument/2006/relationships/image" Target="media/rId25.png"/><Relationship Id="rId21" Type="http://schemas.openxmlformats.org/officeDocument/2006/relationships/image" Target="media/rId21.png"/><Relationship Id="rId115" Type="http://schemas.openxmlformats.org/officeDocument/2006/relationships/image" Target="media/rId115.png"/><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header" Target="header14.xml"/><Relationship Id="rId26" Type="http://schemas.openxmlformats.org/officeDocument/2006/relationships/header" Target="header15.xml"/><Relationship Id="rId27" Type="http://schemas.openxmlformats.org/officeDocument/2006/relationships/header" Target="header16.xml"/><Relationship Id="rId28" Type="http://schemas.openxmlformats.org/officeDocument/2006/relationships/header" Target="header17.xml"/><Relationship Id="rId29" Type="http://schemas.openxmlformats.org/officeDocument/2006/relationships/header" Target="header18.xml"/><Relationship Id="rId30" Type="http://schemas.openxmlformats.org/officeDocument/2006/relationships/header" Target="header19.xml"/></Relationships>
</file>

<file path=word/_rels/footnotes.xml.rels><?xml version='1.0' encoding='UTF-8' standalone='yes'?>
<Relationships xmlns="http://schemas.openxmlformats.org/package/2006/relationships"><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2026-06-04T19:13:55Z</dcterms:created>
  <dcterms:modified xsi:type="dcterms:W3CDTF">2026-06-04T19:13:55Z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