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130"/>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2766974" cy="158205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2766974" cy="15820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130"/>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130"/>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2766974" cy="18212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66974" cy="18212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We exercise the complete tool in its intended regime on three custom verticals,</w:t>
      </w:r>
      <w:r>
        <w:t xml:space="preserve"> </w:t>
      </w:r>
      <w:r>
        <w:rPr>
          <w:i/>
          <w:iCs/>
        </w:rPr>
        <w:t xml:space="preserve">drug–drug interaction reasoning</w:t>
      </w:r>
      <w:r>
        <w:t xml:space="preserve">,</w:t>
      </w:r>
      <w:r>
        <w:t xml:space="preserve"> </w:t>
      </w:r>
      <w:r>
        <w:rPr>
          <w:i/>
          <w:iCs/>
        </w:rPr>
        <w:t xml:space="preserve">clinical reasoning</w:t>
      </w:r>
      <w:r>
        <w:t xml:space="preserve">, and</w:t>
      </w:r>
      <w:r>
        <w:t xml:space="preserve"> </w:t>
      </w:r>
      <w:r>
        <w:rPr>
          <w:i/>
          <w:iCs/>
        </w:rPr>
        <w:t xml:space="preserve">legal analysis</w:t>
      </w:r>
      <w:r>
        <w:t xml:space="preserve">, for</w:t>
      </w:r>
      <w:r>
        <w:t xml:space="preserve"> </w:t>
      </w:r>
      <w:r>
        <w:t xml:space="preserve">which we assume no task-specific labeled data and no trustworthy public benchmark. From a one-line description</w:t>
      </w:r>
      <w:r>
        <w:t xml:space="preserve"> </w:t>
      </w:r>
      <w:r>
        <w:t xml:space="preserve">each, CoEval generated 40 attribute-stratified items per vertical, three candidates answered, and the</w:t>
      </w:r>
      <w:r>
        <w:t xml:space="preserve"> </w:t>
      </w:r>
      <w:r>
        <w:t xml:space="preserve">cross-family panel scored every response, from one configuration file with no human labels. The panel produces</w:t>
      </w:r>
      <w:r>
        <w:t xml:space="preserve"> </w:t>
      </w:r>
      <w:r>
        <w:t xml:space="preserve">defensible rankings, a fully unanimous order on drug-interaction (</w:t>
      </w:r>
      <w:r>
        <w:rPr>
          <w:rStyle w:val="VerbatimChar"/>
        </w:rPr>
        <w:t xml:space="preserve">gpt-4o-mini</w:t>
      </w:r>
      <w:r>
        <w:t xml:space="preserve"> </w:t>
      </w:r>
      <m:oMath>
        <m:r>
          <m:rPr>
            <m:sty m:val="p"/>
          </m:rPr>
          <m:t>&gt;</m:t>
        </m:r>
      </m:oMath>
      <w:r>
        <w:t xml:space="preserve"> </w:t>
      </w:r>
      <w:r>
        <w:rPr>
          <w:rStyle w:val="VerbatimChar"/>
        </w:rPr>
        <w:t xml:space="preserve">gpt-3.5-turbo</w:t>
      </w:r>
      <w:r>
        <w:t xml:space="preserve"> </w:t>
      </w:r>
      <m:oMath>
        <m:r>
          <m:rPr>
            <m:sty m:val="p"/>
          </m:rPr>
          <m:t>&gt;</m:t>
        </m:r>
      </m:oMath>
      <w:r>
        <w:t xml:space="preserve"> </w:t>
      </w:r>
      <w:r>
        <w:rPr>
          <w:rStyle w:val="VerbatimChar"/>
        </w:rPr>
        <w:t xml:space="preserve">llama-3.2-3b</w:t>
      </w:r>
      <w:r>
        <w:t xml:space="preserve">, non-overlapping CIs) and consistent rankings on clinical</w:t>
      </w:r>
      <w:r>
        <w:t xml:space="preserve"> </w:t>
      </w:r>
      <w:r>
        <w:t xml:space="preserve">and legal, with</w:t>
      </w:r>
      <w:r>
        <w:t xml:space="preserve"> </w:t>
      </w:r>
      <m:oMath>
        <m:r>
          <m:t>71</m:t>
        </m:r>
        <m:r>
          <m:rPr>
            <m:sty m:val="p"/>
          </m:rPr>
          <m:t>%</m:t>
        </m:r>
      </m:oMath>
      <w:r>
        <w:t xml:space="preserve"> </w:t>
      </w:r>
      <w:r>
        <w:t xml:space="preserve">of generated items discriminative. Appendix G reports the full results</w:t>
      </w:r>
      <w:r>
        <w:t xml:space="preserve"> </w:t>
      </w:r>
      <w:r>
        <w:t xml:space="preserve">(Table G1) and Appendix C the generated artifacts.</w:t>
      </w: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G1).</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G1.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130"/>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 2 and Table G1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130"/>
          <w:cols w:num="1" w:space="340"/>
          <w:docGrid w:linePitch="360"/>
        </w:sectPr>
      </w:pPr>
    </w:p>
    <w:bookmarkEnd w:id="125"/>
    <w:bookmarkStart w:id="126" w:name="appG"/>
    <w:p>
      <w:pPr>
        <w:pStyle w:val="Heading2"/>
        <w:keepNext/>
        <w:keepLines/>
        <w:widowControl w:val="1"/>
      </w:pPr>
      <w:r>
        <w:t xml:space="preserve">Appendix G. Domain case studies (full results)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G1).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G1.</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G1.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bookmarkEnd w:id="126"/>
    <w:sectPr w:rsidR="00FC693F" w:rsidRPr="0006063C" w:rsidSect="00034616">
      <w:headerReference w:type="default" r:id="rId30"/>
      <w:type w:val="continuous"/>
      <w:pgSz w:h="16838" w:w="11906"/>
      <w:pgMar w:bottom="1417" w:footer="720" w:gutter="0" w:header="720" w:left="1417" w:right="1417" w:top="1417"/>
      <w:lnNumType w:countBy="1" w:restart="continuous" w:distance="130"/>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LineNumber">
    <w:name w:val="Line Number"/>
    <w:rPr>
      <w:rFonts w:ascii="Times New Roman" w:hAnsi="Times New Roman"/>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2026-06-04T19:08:06Z</dcterms:created>
  <dcterms:modified xsi:type="dcterms:W3CDTF">2026-06-04T19:08:06Z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