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160"/>
        <w:jc w:val="center"/>
        <w:keepNext w:val="0"/>
        <w:keepLines/>
        <w:widowControl w:val="1"/>
      </w:pPr>
      <w:r>
        <w:rPr>
          <w:rFonts w:ascii="Times New Roman" w:hAnsi="Times New Roman"/>
          <w:b w:val="0"/>
          <w:i/>
          <w:sz w:val="20"/>
        </w:rPr>
        <w:t xml:space="preserve">Alexander Apartsin</w:t>
      </w:r>
      <w:r>
        <w:rPr>
          <w:rFonts w:ascii="Times New Roman" w:hAnsi="Times New Roman"/>
          <w:b w:val="0"/>
          <w:i/>
          <w:sz w:val="20"/>
          <w:vertAlign w:val="superscript"/>
        </w:rPr>
        <w:t xml:space="preserve">1</w:t>
      </w:r>
      <w:r>
        <w:rPr>
          <w:rFonts w:ascii="Times New Roman" w:hAnsi="Times New Roman"/>
          <w:b w:val="0"/>
          <w:i/>
          <w:sz w:val="20"/>
        </w:rPr>
        <w:t xml:space="preserve">,</w:t>
      </w:r>
      <w:r>
        <w:rPr>
          <w:rFonts w:ascii="Times New Roman" w:hAnsi="Times New Roman"/>
          <w:b w:val="0"/>
          <w:i/>
          <w:sz w:val="20"/>
        </w:rPr>
        <w:t xml:space="preserve"> </w:t>
      </w:r>
      <w:r>
        <w:rPr>
          <w:rFonts w:ascii="Times New Roman" w:hAnsi="Times New Roman"/>
          <w:b w:val="0"/>
          <w:i/>
          <w:sz w:val="20"/>
        </w:rPr>
        <w:t xml:space="preserve">Yehudit Aperstein</w:t>
      </w:r>
      <w:r>
        <w:rPr>
          <w:rFonts w:ascii="Times New Roman" w:hAnsi="Times New Roman"/>
          <w:b w:val="0"/>
          <w:i/>
          <w:sz w:val="20"/>
          <w:vertAlign w:val="superscript"/>
        </w:rPr>
        <w:t xml:space="preserve">2</w:t>
      </w:r>
    </w:p>
    <w:p>
      <w:pPr>
        <w:pStyle w:val="Subtitle"/>
        <w:spacing w:before="0" w:after="160"/>
        <w:jc w:val="center"/>
        <w:keepNext w:val="0"/>
        <w:keepLines/>
        <w:widowControl w:val="1"/>
      </w:pPr>
      <w:r>
        <w:rPr>
          <w:rFonts w:ascii="Times New Roman" w:hAnsi="Times New Roman"/>
          <w:b w:val="0"/>
          <w:i/>
          <w:sz w:val="20"/>
          <w:vertAlign w:val="superscript"/>
        </w:rPr>
        <w:t xml:space="preserve">1</w:t>
      </w:r>
      <w:r>
        <w:rPr>
          <w:rFonts w:ascii="Times New Roman" w:hAnsi="Times New Roman"/>
          <w:b w:val="0"/>
          <w:i/>
          <w:sz w:val="20"/>
        </w:rPr>
        <w:t xml:space="preserve">Holon Institute of Technology, Israel  ·  </w:t>
      </w:r>
      <w:r>
        <w:rPr>
          <w:rFonts w:ascii="Times New Roman" w:hAnsi="Times New Roman"/>
          <w:b w:val="0"/>
          <w:i/>
          <w:sz w:val="20"/>
          <w:vertAlign w:val="superscript"/>
        </w:rPr>
        <w:t xml:space="preserve">2</w:t>
      </w:r>
      <w:r>
        <w:rPr>
          <w:rFonts w:ascii="Times New Roman" w:hAnsi="Times New Roman"/>
          <w:b w:val="0"/>
          <w:i/>
          <w:sz w:val="20"/>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Selecting a pretrained language model, or evaluating a fine-tuned one, for a specific application is a high-value</w:t>
      </w:r>
      <w:r>
        <w:t xml:space="preserve"> </w:t>
      </w:r>
      <w:r>
        <w:t xml:space="preserve">decision, yet the public benchmarks used to make it are poorly suited: a generic benchmark need not reflect a</w:t>
      </w:r>
      <w:r>
        <w:t xml:space="preserve"> </w:t>
      </w:r>
      <w:r>
        <w:t xml:space="preserve">particular</w:t>
      </w:r>
      <w:r>
        <w:t xml:space="preserve"> </w:t>
      </w:r>
      <w:r>
        <w:rPr>
          <w:i/>
          <w:iCs/>
        </w:rPr>
        <w:t xml:space="preserve">sub-domain or sub-task</w:t>
      </w:r>
      <w:r>
        <w:t xml:space="preserve">, and its scores are suspect when its items have</w:t>
      </w:r>
      <w:r>
        <w:t xml:space="preserve"> </w:t>
      </w:r>
      <w:r>
        <w:rPr>
          <w:i/>
          <w:iCs/>
        </w:rPr>
        <w:t xml:space="preserve">leaked into</w:t>
      </w:r>
      <w:r>
        <w:rPr>
          <w:i/>
          <w:iCs/>
        </w:rPr>
        <w:t xml:space="preserve"> </w:t>
      </w:r>
      <w:r>
        <w:rPr>
          <w:i/>
          <w:iCs/>
        </w:rPr>
        <w:t xml:space="preserve">pretraining</w:t>
      </w:r>
      <w:r>
        <w:t xml:space="preserve"> </w:t>
      </w:r>
      <w:r>
        <w:t xml:space="preserve">and are recalled rather than solved. We present</w:t>
      </w:r>
      <w:r>
        <w:t xml:space="preserve"> </w:t>
      </w:r>
      <w:r>
        <w:rPr>
          <w:b/>
          <w:bCs/>
        </w:rPr>
        <w:t xml:space="preserve">CoEval</w:t>
      </w:r>
      <w:r>
        <w:t xml:space="preserve">, an open framework that</w:t>
      </w:r>
      <w:r>
        <w:t xml:space="preserve"> </w:t>
      </w:r>
      <w:r>
        <w:t xml:space="preserve">supplies a trustworthy, task-specific signal through</w:t>
      </w:r>
      <w:r>
        <w:t xml:space="preserve"> </w:t>
      </w:r>
      <w:r>
        <w:rPr>
          <w:i/>
          <w:iCs/>
        </w:rPr>
        <w:t xml:space="preserve">ensemble self-evaluation</w:t>
      </w:r>
      <w:r>
        <w:t xml:space="preserve">: from a task or domain</w:t>
      </w:r>
      <w:r>
        <w:t xml:space="preserve"> </w:t>
      </w:r>
      <w:r>
        <w:t xml:space="preserve">description, a 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 fresh, contamination-free benchmark, answer it, and score one another, with no human</w:t>
      </w:r>
      <w:r>
        <w:t xml:space="preserve"> </w:t>
      </w:r>
      <w:r>
        <w:t xml:space="preserve">labels or raters. Because every model also answers as a student, the responses are the data that weight each question</w:t>
      </w:r>
      <w:r>
        <w:t xml:space="preserve"> </w:t>
      </w:r>
      <w:r>
        <w:t xml:space="preserve">by its discriminative power and each judge by its consensus with the panel. Where ground truth exists, CoEval</w:t>
      </w:r>
      <w:r>
        <w:t xml:space="preserve"> </w:t>
      </w:r>
      <w:r>
        <w:t xml:space="preserve">recovers the true ranking and tracks objective correctness at</w:t>
      </w:r>
      <w:r>
        <w:t xml:space="preserve"> </w:t>
      </w:r>
      <m:oMath>
        <m:r>
          <m:t>ρ</m:t>
        </m:r>
        <m:r>
          <m:rPr>
            <m:sty m:val="p"/>
          </m:rPr>
          <m:t>=</m:t>
        </m:r>
        <m:r>
          <m:t>0.86</m:t>
        </m:r>
      </m:oMath>
      <w:r>
        <w:t xml:space="preserve">, and the weighting recovers the gold</w:t>
      </w:r>
      <w:r>
        <w:t xml:space="preserve"> </w:t>
      </w:r>
      <w:r>
        <w:t xml:space="preserve">ranking of thirteen models at Spearman</w:t>
      </w:r>
      <w:r>
        <w:t xml:space="preserve"> </w:t>
      </w:r>
      <m:oMath>
        <m:r>
          <m:t>0.95</m:t>
        </m:r>
      </m:oMath>
      <w:r>
        <w:t xml:space="preserve">; the panel also agrees with human judgments on standard</w:t>
      </w:r>
      <w:r>
        <w:t xml:space="preserve"> </w:t>
      </w:r>
      <w:r>
        <w:t xml:space="preserve">meta-evaluation benchmarks (SummEval, LLMBar), matching the best single judge without a label-oracle to select it. Reliability comes from panel</w:t>
      </w:r>
      <w:r>
        <w:t xml:space="preserve"> </w:t>
      </w:r>
      <w:r>
        <w:rPr>
          <w:i/>
          <w:iCs/>
        </w:rPr>
        <w:t xml:space="preserve">composition</w:t>
      </w:r>
      <w:r>
        <w:t xml:space="preserve">, not size: this</w:t>
      </w:r>
      <w:r>
        <w:t xml:space="preserve"> </w:t>
      </w:r>
      <w:r>
        <w:t xml:space="preserve">label-free weighting zeroes out broken judges and down-weights saturated questions, so neither distorts the ranking.</w:t>
      </w:r>
      <w:r>
        <w:t xml:space="preserve"> </w:t>
      </w:r>
      <w:r>
        <w:t xml:space="preserve">Generated items show</w:t>
      </w:r>
      <w:r>
        <w:t xml:space="preserve"> </w:t>
      </w:r>
      <w:r>
        <w:rPr>
          <w:i/>
          <w:iCs/>
        </w:rPr>
        <w:t xml:space="preserve">zero</w:t>
      </w:r>
      <w:r>
        <w:t xml:space="preserve"> </w:t>
      </w:r>
      <w:r>
        <w:t xml:space="preserve">verbatim overlap with five public benchmarks, the panel cancels verbosity bias and</w:t>
      </w:r>
      <w:r>
        <w:t xml:space="preserve"> </w:t>
      </w:r>
      <w:r>
        <w:t xml:space="preserve">precludes same-family self-preference, and rankings are</w:t>
      </w:r>
      <w:r>
        <w:t xml:space="preserve"> </w:t>
      </w:r>
      <w:r>
        <w:rPr>
          <w:i/>
          <w:iCs/>
        </w:rPr>
        <w:t xml:space="preserve">domain-specific</w:t>
      </w:r>
      <w:r>
        <w:t xml:space="preserve">: three different models top four</w:t>
      </w:r>
      <w:r>
        <w:t xml:space="preserve"> </w:t>
      </w:r>
      <w:r>
        <w:t xml:space="preserve">de-novo domains, so a generic leaderboard misdirects most practitioners. The same pipeline reruns on each model</w:t>
      </w:r>
      <w:r>
        <w:t xml:space="preserve"> </w:t>
      </w:r>
      <w:r>
        <w:t xml:space="preserve">release, giving any team a contamination-free leaderboard for its application.</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headerReference w:type="default" r:id="rId10"/>
          <w:type w:val="continuous"/>
          <w:pgSz w:h="16838" w:w="11906"/>
          <w:pgMar w:bottom="1417" w:footer="720" w:gutter="0" w:header="720" w:left="1417" w:right="1417" w:top="1417"/>
          <w:lnNumType w:countBy="1" w:restart="continuous" w:distance="284"/>
          <w:cols w:num="1" w:space="340"/>
          <w:docGrid w:linePitch="360"/>
        </w:sectPr>
      </w:pP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selecting a pretrained language model, or evaluating a fine-tuned one, for a specific application</w:t>
      </w:r>
      <w:r>
        <w:t xml:space="preserve"> </w:t>
      </w:r>
      <w:r>
        <w:t xml:space="preserve">(summarizing clinical notes, answering questions over an internal knowledge base, triaging support tickets for a</w:t>
      </w:r>
      <w:r>
        <w:t xml:space="preserve"> </w:t>
      </w:r>
      <w:r>
        <w:t xml:space="preserve">particular product) faces a 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for</w:t>
      </w:r>
      <w:r>
        <w:t xml:space="preserve"> </w:t>
      </w:r>
      <w:r>
        <w:rPr>
          <w:i/>
          <w:iCs/>
        </w:rPr>
        <w:t xml:space="preserve">ensemble self-evaluation</w:t>
      </w:r>
      <w:r>
        <w:t xml:space="preserve">: a</w:t>
      </w:r>
      <w:r>
        <w:t xml:space="preserve"> </w:t>
      </w:r>
      <w:r>
        <w:t xml:space="preserve">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w:t>
      </w:r>
      <w:r>
        <w:t xml:space="preserve"> </w:t>
      </w:r>
      <w:r>
        <w:t xml:space="preserve">fresh, contamination-free benchmark, answer it, and score one another. Because every model also answers as a student,</w:t>
      </w:r>
      <w:r>
        <w:t xml:space="preserve"> </w:t>
      </w:r>
      <w:r>
        <w:t xml:space="preserve">the responses provide the data that weight each question by its discriminative power and each judge by its consensus</w:t>
      </w:r>
      <w:r>
        <w:t xml:space="preserve"> </w:t>
      </w:r>
      <w:r>
        <w:t xml:space="preserve">with the panel. CoEval contributes:</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for per-domain ranking.</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re-runs on every model release, giving a team a renewable, application-specific</w:t>
      </w:r>
      <w:r>
        <w:t xml:space="preserve"> </w:t>
      </w:r>
      <w:r>
        <w:t xml:space="preserve">benchmark. Per-domain ranking carries real signal: across four de-novo domains three different models take first</w:t>
      </w:r>
      <w:r>
        <w:t xml:space="preserve"> </w:t>
      </w:r>
      <w:r>
        <w:t xml:space="preserve">place (Section 5.7), so CoEval directs each practitioner to the best model for their own use case where a</w:t>
      </w:r>
      <w:r>
        <w:t xml:space="preserve"> </w:t>
      </w:r>
      <w:r>
        <w:t xml:space="preserve">single generic leaderboard would not.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unifies all three: contamination-free, label-free, domain-targeted generation with a</w:t>
      </w:r>
      <w:r>
        <w:t xml:space="preserve"> </w:t>
      </w:r>
      <w:r>
        <w:t xml:space="preserve">reliability-controlled cross-family judge ensemble, in a single framework for the no-data, untrusted-benchmark regime.</w:t>
      </w:r>
      <w:r>
        <w:t xml:space="preserve"> </w:t>
      </w:r>
      <w:r>
        <w:t xml:space="preserve">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PandaLM [</w:t>
      </w:r>
      <w:hyperlink w:anchor="r34">
        <w:r>
          <w:rPr>
            <w:rStyle w:val="Hyperlink"/>
          </w:rPr>
          <w:t xml:space="preserve">34</w:t>
        </w:r>
      </w:hyperlink>
      <w:r>
        <w:t xml:space="preserve">], and JudgeLM [</w:t>
      </w:r>
      <w:hyperlink w:anchor="r35">
        <w:r>
          <w:rPr>
            <w:rStyle w:val="Hyperlink"/>
          </w:rPr>
          <w:t xml:space="preserve">35</w:t>
        </w:r>
      </w:hyperlink>
      <w:r>
        <w:t xml:space="preserve">] train dedicated</w:t>
      </w:r>
      <w:r>
        <w:t xml:space="preserve"> </w:t>
      </w:r>
      <w:r>
        <w:t xml:space="preserve">open evaluators.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1"/>
          <w:type w:val="continuous"/>
          <w:pgSz w:h="16838" w:w="11906"/>
          <w:pgMar w:bottom="1417" w:footer="720" w:gutter="0" w:header="720" w:left="1417" w:right="1417" w:top="1417"/>
          <w:lnNumType w:countBy="1" w:restart="continuous" w:distance="284"/>
          <w:cols w:num="2" w:space="340" w:equalWidth="1"/>
          <w:docGrid w:linePitch="360"/>
        </w:sectPr>
      </w:pPr>
    </w:p>
    <w:p>
      <w:pPr>
        <w:pStyle w:val="BodyText"/>
        <w:jc w:val="center"/>
        <w:keepNext/>
        <w:keepLines/>
        <w:widowControl w:val="1"/>
      </w:pPr>
      <w:r>
        <w:drawing>
          <wp:inline>
            <wp:extent cx="5969000" cy="1928377"/>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5969000" cy="19283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2"/>
          <w:type w:val="continuous"/>
          <w:pgSz w:h="16838" w:w="11906"/>
          <w:pgMar w:bottom="1417" w:footer="720" w:gutter="0" w:header="720" w:left="1417" w:right="1417" w:top="1417"/>
          <w:lnNumType w:countBy="1" w:restart="continuous" w:distance="284"/>
          <w:cols w:num="1" w:space="340"/>
          <w:docGrid w:linePitch="360"/>
        </w:sectPr>
      </w:pP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3"/>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Experimental configurations. Judge panels differ by experiment because the ground-truth anchor (5.1) uses a frontier cross-family panel while the bias and reliability studies (5.2–5.3) use a deliberately heterogeneous panel that includes weak open-weight judges; the verticals (5.4, 5.7)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7)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Experiment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Task(s)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Judge 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Size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 ground truth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SciQ, ARC (exact-match QA)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 claude-sonnet-4, 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 items / 573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 reliability (5.1 summ. 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 (BLEU), news + text summ. (BERTScore)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 gpt-3.5-turbo, claude-haiku, 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 tasks / 900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5.2–5.3, App. 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4-task medium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 gpt-3.5-turbo, qwen2.5-1.5b, smollm2-1.7b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7,978 eval.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5.4, 5.6 verticals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drug-interaction, clinical, legal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claude-haiku, gemini-flash,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 items each</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5.5 contamination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SciQ memorization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exact-match (no LLM judge)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200 memorized / 100 fresh</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4"/>
          <w:type w:val="continuous"/>
          <w:pgSz w:h="16838" w:w="11906"/>
          <w:pgMar w:bottom="1417" w:footer="720" w:gutter="0" w:header="720" w:left="1417" w:right="1417" w:top="1417"/>
          <w:lnNumType w:countBy="1" w:restart="continuous" w:distance="284"/>
          <w:cols w:num="1" w:space="340"/>
          <w:docGrid w:linePitch="360"/>
        </w:sectPr>
      </w:pPr>
    </w:p>
    <w:bookmarkEnd w:id="23"/>
    <w:bookmarkStart w:id="40"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Section 5.6 exercises the complete tool on three custom verticals (drug interaction, clinical, legal) with no labeled data, and Section 5.7 shows that rankings are domain-specific: across four de-novo domains three different models take first place, so a generic leaderboard misdirects the practitioner that CoEval's per-domain ranking serves.</w:t>
      </w:r>
    </w:p>
    <w:bookmarkStart w:id="27" w:name="X7df2e9e9a901f5ac4e837e696941ee5802047fd"/>
    <w:p>
      <w:pPr>
        <w:pStyle w:val="Heading3"/>
        <w:keepNext/>
        <w:keepLines/>
        <w:widowControl w:val="1"/>
      </w:pPr>
      <w:r>
        <w:t xml:space="preserve">5.1 Judge accuracy: agreement with ground truth and human ratings</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6"/>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CoEval frontier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+0.859</w:t>
            </w:r>
            <w:r>
              <w:rPr>
                <w:rFonts w:ascii="Times New Roman" w:hAnsi="Times New Roman"/>
                <w:sz w:val="19"/>
              </w:rPr>
              <w:t xml:space="preserve"> </w:t>
            </w:r>
            <w:r>
              <w:rPr>
                <w:rFonts w:ascii="Times New Roman" w:hAnsi="Times New Roman"/>
                <w:sz w:val="19"/>
              </w:rPr>
              <w:t xml:space="preserve">[0.77, 0.94]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  gpt-4o (OpenAI)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  claude-sonnet-4 (Anthropic)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+0.859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  gemini-2.5-flash (Google)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+0.859</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7"/>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w:t>
      </w:r>
    </w:p>
    <w:p>
      <w:pPr>
        <w:pStyle w:val="BodyText"/>
        <w:jc w:val="both"/>
        <w:keepNext w:val="0"/>
        <w:keepLines w:val="0"/>
        <w:widowControl w:val="1"/>
      </w:pPr>
      <w:r>
        <w:t xml:space="preserve">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cannot be chosen safely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8"/>
          <w:type w:val="continuous"/>
          <w:pgSz w:h="16838" w:w="11906"/>
          <w:pgMar w:bottom="1417" w:footer="720" w:gutter="0" w:header="720" w:left="1417" w:right="1417" w:top="1417"/>
          <w:lnNumType w:countBy="1" w:restart="continuous" w:distance="284"/>
          <w:cols w:num="2" w:space="340" w:equalWidth="1"/>
          <w:docGrid w:linePitch="360"/>
        </w:sectPr>
      </w:pP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0.02, and the order gpt-4o-mini &gt; gpt-3.5-turbo &gt; llama-3.2-3b is reproduced exactly (cf. Table 3).</w:t>
      </w:r>
    </w:p>
    <w:p>
      <w:pPr>
        <w:pStyle w:val="TableCaption"/>
        <w:spacing w:before="240" w:after="60" w:line="240" w:lineRule="auto"/>
        <w:jc w:val="center"/>
        <w:keepNext/>
        <w:keepLines/>
        <w:widowControl w:val="1"/>
      </w:pPr>
      <w:r>
        <w:rPr>
          <w:b/>
          <w:i/>
        </w:rPr>
        <w:t>Table 3.</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0.963 [0.937, 0.984]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0.921 [0.880, 0.958]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0.843 [0.791, 0.895]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0.832</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9"/>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rPr>
          <w:b/>
          <w:bCs/>
        </w:rPr>
        <w:t xml:space="preserve">Agreement with human judgments.</w:t>
      </w:r>
      <w:r>
        <w:t xml:space="preserve"> </w:t>
      </w:r>
      <w:r>
        <w:t xml:space="preserve">The validation above anchors the judge to objective exact-match</w:t>
      </w:r>
      <w:r>
        <w:t xml:space="preserve"> </w:t>
      </w:r>
      <w:r>
        <w:t xml:space="preserve">ground truth. We additionally test it against</w:t>
      </w:r>
      <w:r>
        <w:t xml:space="preserve"> </w:t>
      </w:r>
      <w:r>
        <w:rPr>
          <w:i/>
          <w:iCs/>
        </w:rPr>
        <w:t xml:space="preserve">human</w:t>
      </w:r>
      <w:r>
        <w:t xml:space="preserve"> </w:t>
      </w:r>
      <w:r>
        <w:t xml:space="preserve">quality judgments on two standard meta-evaluation</w:t>
      </w:r>
      <w:r>
        <w:t xml:space="preserve"> </w:t>
      </w:r>
      <w:r>
        <w:t xml:space="preserve">benchmarks, scoring with the same cheap cross-family panel (</w:t>
      </w:r>
      <w:r>
        <w:rPr>
          <w:rStyle w:val="VerbatimChar"/>
        </w:rPr>
        <w:t xml:space="preserve">gpt-4o-mini</w:t>
      </w:r>
      <w:r>
        <w:t xml:space="preserve">,</w:t>
      </w:r>
      <w:r>
        <w:t xml:space="preserve"> </w:t>
      </w:r>
      <w:r>
        <w:rPr>
          <w:rStyle w:val="VerbatimChar"/>
        </w:rPr>
        <w:t xml:space="preserve">claude-3.5-haiku</w:t>
      </w:r>
      <w:r>
        <w:t xml:space="preserve">,</w:t>
      </w:r>
      <w:r>
        <w:t xml:space="preserve"> </w:t>
      </w:r>
      <w:r>
        <w:rPr>
          <w:rStyle w:val="VerbatimChar"/>
        </w:rPr>
        <w:t xml:space="preserve">gemini-flash</w:t>
      </w:r>
      <w:r>
        <w:t xml:space="preserve">). On SummEval [</w:t>
      </w:r>
      <w:hyperlink w:anchor="r37">
        <w:r>
          <w:rPr>
            <w:rStyle w:val="Hyperlink"/>
          </w:rPr>
          <w:t xml:space="preserve">37</w:t>
        </w:r>
      </w:hyperlink>
      <w:r>
        <w:t xml:space="preserve">], where experts rate machine summaries, the panel</w:t>
      </w:r>
      <w:r>
        <w:t xml:space="preserve"> </w:t>
      </w:r>
      <w:r>
        <w:t xml:space="preserve">correlates with human ratings at Spearman</w:t>
      </w:r>
      <w:r>
        <w:t xml:space="preserve"> </w:t>
      </w:r>
      <m:oMath>
        <m:r>
          <m:t>0.53</m:t>
        </m:r>
      </m:oMath>
      <w:r>
        <w:t xml:space="preserve"> </w:t>
      </w:r>
      <w:r>
        <w:t xml:space="preserve">(relevance),</w:t>
      </w:r>
      <w:r>
        <w:t xml:space="preserve"> </w:t>
      </w:r>
      <m:oMath>
        <m:r>
          <m:t>0.58</m:t>
        </m:r>
      </m:oMath>
      <w:r>
        <w:t xml:space="preserve"> </w:t>
      </w:r>
      <w:r>
        <w:t xml:space="preserve">(coherence), and</w:t>
      </w:r>
      <w:r>
        <w:t xml:space="preserve"> </w:t>
      </w:r>
      <m:oMath>
        <m:r>
          <m:t>0.56</m:t>
        </m:r>
      </m:oMath>
      <w:r>
        <w:t xml:space="preserve"> </w:t>
      </w:r>
      <w:r>
        <w:t xml:space="preserve">(consistency), in the</w:t>
      </w:r>
      <w:r>
        <w:t xml:space="preserve"> </w:t>
      </w:r>
      <w:r>
        <w:t xml:space="preserve">range strong single-model judges such as G-Eval [</w:t>
      </w:r>
      <w:hyperlink w:anchor="r2">
        <w:r>
          <w:rPr>
            <w:rStyle w:val="Hyperlink"/>
          </w:rPr>
          <w:t xml:space="preserve">2</w:t>
        </w:r>
      </w:hyperlink>
      <w:r>
        <w:t xml:space="preserve">] report on this benchmark, reached here by a</w:t>
      </w:r>
      <w:r>
        <w:t xml:space="preserve"> </w:t>
      </w:r>
      <w:r>
        <w:t xml:space="preserve">panel of small models; the panel exceeds its best single judge on relevance and coherence, and the blind</w:t>
      </w:r>
      <w:r>
        <w:t xml:space="preserve"> </w:t>
      </w:r>
      <w:r>
        <w:t xml:space="preserve">single-judge average on all three. On LLMBar [</w:t>
      </w:r>
      <w:hyperlink w:anchor="r38">
        <w:r>
          <w:rPr>
            <w:rStyle w:val="Hyperlink"/>
          </w:rPr>
          <w:t xml:space="preserve">38</w:t>
        </w:r>
      </w:hyperlink>
      <w:r>
        <w:t xml:space="preserve">], which asks an evaluator to pick the</w:t>
      </w:r>
      <w:r>
        <w:t xml:space="preserve"> </w:t>
      </w:r>
      <w:r>
        <w:t xml:space="preserve">human-preferred output, the panel scores each output</w:t>
      </w:r>
      <w:r>
        <w:t xml:space="preserve"> </w:t>
      </w:r>
      <w:r>
        <w:rPr>
          <w:i/>
          <w:iCs/>
        </w:rPr>
        <w:t xml:space="preserve">absolutely</w:t>
      </w:r>
      <w:r>
        <w:t xml:space="preserve"> </w:t>
      </w:r>
      <w:r>
        <w:t xml:space="preserve">(so no position bias) and prefers the</w:t>
      </w:r>
      <w:r>
        <w:t xml:space="preserve"> </w:t>
      </w:r>
      <w:r>
        <w:t xml:space="preserve">higher; it reaches</w:t>
      </w:r>
      <w:r>
        <w:t xml:space="preserve"> </w:t>
      </w:r>
      <m:oMath>
        <m:r>
          <m:t>0.845</m:t>
        </m:r>
      </m:oMath>
      <w:r>
        <w:t xml:space="preserve"> </w:t>
      </w:r>
      <w:r>
        <w:t xml:space="preserve">preference accuracy overall (</w:t>
      </w:r>
      <m:oMath>
        <m:r>
          <m:t>0.94</m:t>
        </m:r>
      </m:oMath>
      <w:r>
        <w:t xml:space="preserve"> </w:t>
      </w:r>
      <w:r>
        <w:t xml:space="preserve">on the natural split), exceeding the expected accuracy</w:t>
      </w:r>
      <w:r>
        <w:t xml:space="preserve"> </w:t>
      </w:r>
      <w:r>
        <w:t xml:space="preserve">of a single judge chosen blind (</w:t>
      </w:r>
      <m:oMath>
        <m:r>
          <m:t>0.76</m:t>
        </m:r>
      </m:oMath>
      <w:r>
        <w:t xml:space="preserve">) by</w:t>
      </w:r>
      <w:r>
        <w:t xml:space="preserve"> </w:t>
      </w:r>
      <m:oMath>
        <m:r>
          <m:t>0.08</m:t>
        </m:r>
      </m:oMath>
      <w:r>
        <w:t xml:space="preserve"> </w:t>
      </w:r>
      <w:r>
        <w:t xml:space="preserve">and matching the best single judge (</w:t>
      </w:r>
      <m:oMath>
        <m:r>
          <m:t>0.84</m:t>
        </m:r>
      </m:oMath>
      <w:r>
        <w:t xml:space="preserve">) without needing to know</w:t>
      </w:r>
      <w:r>
        <w:t xml:space="preserve"> </w:t>
      </w:r>
      <w:r>
        <w:t xml:space="preserve">which judge that is. Because peer-agreement weights are near-uniform on a clean panel, the weighted and unweighted</w:t>
      </w:r>
      <w:r>
        <w:t xml:space="preserve"> </w:t>
      </w:r>
      <w:r>
        <w:t xml:space="preserve">panels coincide here; the weighting earns its value under judge-pool contamination (Section 5.2).</w:t>
      </w:r>
    </w:p>
    <w:p>
      <w:pPr>
        <w:pStyle w:val="BodyText"/>
        <w:jc w:val="both"/>
        <w:keepNext w:val="0"/>
        <w:keepLines w:val="0"/>
        <w:widowControl w:val="1"/>
      </w:pPr>
      <w:r>
        <w:rPr>
          <w:b/>
          <w:bCs/>
        </w:rPr>
        <w:t xml:space="preserve">Agreement with human judgments.</w:t>
      </w:r>
      <w:r>
        <w:t xml:space="preserve"> </w:t>
      </w:r>
      <w:r>
        <w:t xml:space="preserve">CoEval cross-family panel versus humans on two standard</w:t>
      </w:r>
      <w:r>
        <w:t xml:space="preserve"> </w:t>
      </w:r>
      <w:r>
        <w:t xml:space="preserve">meta-evaluation benchmarks: SummEval (Spearman of panel score with expert ratings,</w:t>
      </w:r>
      <w:r>
        <w:t xml:space="preserve"> </w:t>
      </w:r>
      <m:oMath>
        <m:r>
          <m:t>n</m:t>
        </m:r>
        <m:r>
          <m:rPr>
            <m:sty m:val="p"/>
          </m:rPr>
          <m:t>=</m:t>
        </m:r>
        <m:r>
          <m:t>293</m:t>
        </m:r>
      </m:oMath>
      <w:r>
        <w:t xml:space="preserve">) and LLMBar (accuracy</w:t>
      </w:r>
      <w:r>
        <w:t xml:space="preserve"> </w:t>
      </w:r>
      <w:r>
        <w:t xml:space="preserve">at matching the human-preferred output,</w:t>
      </w:r>
      <w:r>
        <w:t xml:space="preserve"> </w:t>
      </w:r>
      <m:oMath>
        <m:r>
          <m:t>n</m:t>
        </m:r>
        <m:r>
          <m:rPr>
            <m:sty m:val="p"/>
          </m:rPr>
          <m:t>=</m:t>
        </m:r>
        <m:r>
          <m:t>400</m:t>
        </m:r>
      </m:oMath>
      <w:r>
        <w:t xml:space="preserve">). The panel tracks or exceeds the best single judge, which a</w:t>
      </w:r>
      <w:r>
        <w:t xml:space="preserve"> </w:t>
      </w:r>
      <w:r>
        <w:t xml:space="preserve">label-free user cannot select in advance, and clearly beats the blind single-judge average.</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0"/>
          <w:type w:val="continuous"/>
          <w:pgSz w:h="16838" w:w="11906"/>
          <w:pgMar w:bottom="1417" w:footer="720" w:gutter="0" w:header="720" w:left="1417" w:right="1417" w:top="1417"/>
          <w:lnNumType w:countBy="1" w:restart="continuous" w:distance="284"/>
          <w:cols w:num="2" w:space="340" w:equalWidth="1"/>
          <w:docGrid w:linePitch="360"/>
        </w:sectPr>
      </w:pPr>
    </w:p>
    <w:tbl>
      <w:tblPr>
        <w:tblStyle w:val="Table"/>
        <w:tblW w:type="pct" w:w="5000"/>
        <w:jc w:val="center"/>
        <w:tblLook w:firstRow="1" w:lastRow="0" w:firstColumn="0" w:lastColumn="0" w:noHBand="0" w:noVBand="0" w:val="0020"/>
        <w:tblCaption w:val="Agreement with human judgments. CoEval cross-family panel versus humans on two standard meta-evaluation benchmarks: SummEval (Spearman of panel score with expert ratings, n = 293) and LLMBar (accuracy at matching the human-preferred output, n = 400). The panel tracks or exceeds the best single judge, which a label-free user cannot select in advance, and clearly beats the blind single-judge averag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Benchmark and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Best single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Blind single (avg)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SummEval relevance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SummEval coherence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SummEval consistency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LLMBar overall (accuracy)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0.762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  LLMBar natural split (accuracy)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0.941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0.831</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1"/>
          <w:type w:val="continuous"/>
          <w:pgSz w:h="16838" w:w="11906"/>
          <w:pgMar w:bottom="1417" w:footer="720" w:gutter="0" w:header="720" w:left="1417" w:right="1417" w:top="1417"/>
          <w:lnNumType w:countBy="1" w:restart="continuous" w:distance="284"/>
          <w:cols w:num="1" w:space="340"/>
          <w:docGrid w:linePitch="360"/>
        </w:sectPr>
      </w:pPr>
    </w:p>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its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2"/>
          <w:type w:val="continuous"/>
          <w:pgSz w:h="16838" w:w="11906"/>
          <w:pgMar w:bottom="1417" w:footer="720" w:gutter="0" w:header="720" w:left="1417" w:right="1417" w:top="1417"/>
          <w:lnNumType w:countBy="1" w:restart="continuous" w:distance="284"/>
          <w:cols w:num="2" w:space="340" w:equalWidth="1"/>
          <w:docGrid w:linePitch="360"/>
        </w:sectPr>
      </w:pP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Composition over size. Average-measures reliability ICC(3, k) as judges are added in descending agreement order. A selected strong panel reaches ICC = 0.70; indiscriminately adding low-agreement judges lowers the mean inter-rater correlation faster than averaging compensates, so reliability falls. CoEval's consensus selection retains the high-agreement judges, delivering the reliable configuration automatically.</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3"/>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t xml:space="preserve">Composition matters because the</w:t>
      </w:r>
      <w:r>
        <w:t xml:space="preserve"> </w:t>
      </w:r>
      <w:r>
        <w:rPr>
          <w:i/>
          <w:iCs/>
        </w:rPr>
        <w:t xml:space="preserve">wrong single judge can actively mislead</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5.6)</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with the rogue judge receiving weight</w:t>
      </w:r>
      <w:r>
        <w:t xml:space="preserve"> </w:t>
      </w:r>
      <m:oMath>
        <m:r>
          <m:t>0.00</m:t>
        </m:r>
      </m:oMath>
      <w:r>
        <w:t xml:space="preserve">. Compared against standard</w:t>
      </w:r>
      <w:r>
        <w:t xml:space="preserve"> </w:t>
      </w:r>
      <w:r>
        <w:t xml:space="preserve">baselines on the same scores (Table 4), the doubly-robust ranking matches or beats the best single judge (an</w:t>
      </w:r>
      <w:r>
        <w:t xml:space="preserve"> </w:t>
      </w:r>
      <w:r>
        <w:t xml:space="preserve">oracle, since which judge is best is not knowable without labels), the unweighted panel (PoLL), and the median; its</w:t>
      </w:r>
      <w:r>
        <w:t xml:space="preserve"> </w:t>
      </w:r>
      <w:r>
        <w:t xml:space="preserve">decisive advantage is robustness to a contaminated judge pool: adding rogue judges steadily degrades the unweighted</w:t>
      </w:r>
      <w:r>
        <w:t xml:space="preserve"> </w:t>
      </w:r>
      <w:r>
        <w:t xml:space="preserve">mean (0.88, 0.85, 0.64) and even the median (0.94, 0.91, 0.71) at zero, one, and three rogue judges, while the</w:t>
      </w:r>
      <w:r>
        <w:t xml:space="preserve"> </w:t>
      </w:r>
      <w:r>
        <w:t xml:space="preserve">doubly-robust ranking is invariant to a minority rogue (0.95) and still leads at rogue parity (0.79).</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5"/>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4.</w:t>
      </w:r>
      <w:r>
        <w:rPr>
          <w:b w:val="0"/>
          <w:i/>
        </w:rPr>
        <w:t xml:space="preserve"> </w:t>
      </w:r>
      <w:r>
        <w:rPr>
          <w:b w:val="0"/>
          <w:i/>
        </w:rPr>
        <w:t>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4. 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Aggregator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Spearman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Kendall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Best single judge (oracle)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Panel mean (PoLL)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Panel median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Item-weighted (discrimination)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Judge-weighted (agreement)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Doubly-robust (both)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  with injected random judge: panel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  with injected random judge: doubly-robust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0.87</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6"/>
          <w:type w:val="continuous"/>
          <w:pgSz w:h="16838" w:w="11906"/>
          <w:pgMar w:bottom="1417" w:footer="720" w:gutter="0" w:header="720" w:left="1417" w:right="1417" w:top="1417"/>
          <w:lnNumType w:countBy="1" w:restart="continuous" w:distance="284"/>
          <w:cols w:num="1" w:space="340"/>
          <w:docGrid w:linePitch="360"/>
        </w:sectPr>
      </w:pP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7"/>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5.</w:t>
      </w:r>
      <w:r>
        <w:rPr>
          <w:b w:val="0"/>
          <w:i/>
        </w:rPr>
        <w:t xml:space="preserve"> </w:t>
      </w:r>
      <w:r>
        <w:rPr>
          <w:b w:val="0"/>
          <w:i/>
        </w:rPr>
        <w:t>Verbosity bias (Pearson r between response length and score) for representative individual judges versus the CoEval ensemble. Individual judges carry length biases of opposite sign that the ensemble cancels to a residual centered near zero.</w:t>
      </w:r>
    </w:p>
    <w:tbl>
      <w:tblPr>
        <w:tblStyle w:val="Table"/>
        <w:tblW w:type="pct" w:w="5000"/>
        <w:jc w:val="center"/>
        <w:tblLook w:firstRow="1" w:lastRow="0" w:firstColumn="0" w:lastColumn="0" w:noHBand="0" w:noVBand="0" w:val="0020"/>
        <w:tblCaption w:val="Table 5. Verbosity bias (Pearson r between response length and score) for representative individual judges versus the CoEval ensemble. Individual judges carry length biases of opposite sign that the ensemble cancels to a residual centered near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SmolLM2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Panel mean</w:t>
            </w:r>
            <w:r>
              <w:rPr>
                <w:rFonts w:ascii="Times New Roman" w:hAnsi="Times New Roman"/>
                <w:sz w:val="19"/>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CoEval ensemble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+0.010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Verbosity bias by judge. Each judge's Pearson correlation between response length and score (point) with its 95% bootstrap CI; the ensemble (green) sits at r = +0.010 with a CI spanning zero. Mixed-sign per-judge biases cancel under averaging.</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9"/>
          <w:type w:val="continuous"/>
          <w:pgSz w:h="16838" w:w="11906"/>
          <w:pgMar w:bottom="1417" w:footer="720" w:gutter="0" w:header="720" w:left="1417" w:right="1417" w:top="1417"/>
          <w:lnNumType w:countBy="1" w:restart="continuous" w:distance="284"/>
          <w:cols w:num="1" w:space="340"/>
          <w:docGrid w:linePitch="360"/>
        </w:sectPr>
      </w:pP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5.6)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0.016</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bookmarkEnd w:id="37"/>
    <w:bookmarkStart w:id="38" w:name="putting-it-together-domain-case-studies"/>
    <w:p>
      <w:pPr>
        <w:pStyle w:val="Heading3"/>
        <w:keepNext/>
        <w:keepLines/>
        <w:widowControl w:val="1"/>
      </w:pPr>
      <w:r>
        <w:t xml:space="preserve">5.6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C">
        <w:r>
          <w:rPr>
            <w:rStyle w:val="Hyperlink"/>
          </w:rPr>
          <w:t xml:space="preserve">Appendix C</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6).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30"/>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6.</w:t>
      </w:r>
      <w:r>
        <w:rPr>
          <w:b w:val="0"/>
          <w:i/>
        </w:rPr>
        <w:t xml:space="preserve"> </w:t>
      </w:r>
      <w:r>
        <w:rPr>
          <w:b w:val="0"/>
          <w:i/>
        </w:rPr>
        <w:t>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6. 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Vertical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i/>
                <w:iCs/>
                <w:sz w:val="19"/>
              </w:rPr>
              <w:t xml:space="preserve">Drug–drug 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0.770 [0.739, 0.800]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0.682 [0.646, 0.717]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0.497 [0.459, 0.532]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i/>
                <w:iCs/>
                <w:sz w:val="19"/>
              </w:rPr>
              <w:t xml:space="preserve">Clinical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0.873 [0.849, 0.895]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0.864 [0.840, 0.885]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0.814 [0.784, 0.844]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i/>
                <w:iCs/>
                <w:sz w:val="19"/>
              </w:rPr>
              <w:t xml:space="preserve">Legal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0.982 [0.973, 0.991]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0.740 [0.709, 0.770]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0.709 [0.677, 0.744]</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31"/>
          <w:type w:val="continuous"/>
          <w:pgSz w:h="16838" w:w="11906"/>
          <w:pgMar w:bottom="1417" w:footer="720" w:gutter="0" w:header="720" w:left="1417" w:right="1417" w:top="1417"/>
          <w:lnNumType w:countBy="1" w:restart="continuous" w:distance="284"/>
          <w:cols w:num="1" w:space="340"/>
          <w:docGrid w:linePitch="360"/>
        </w:sectPr>
      </w:pPr>
    </w:p>
    <w:bookmarkEnd w:id="38"/>
    <w:bookmarkStart w:id="39" w:name="X5b909f8979da9f44974797188bca91411bc1d26"/>
    <w:p>
      <w:pPr>
        <w:pStyle w:val="Heading3"/>
        <w:keepNext/>
        <w:keepLines/>
        <w:widowControl w:val="1"/>
      </w:pPr>
      <w:r>
        <w:t xml:space="preserve">5.7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7).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33"/>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7.</w:t>
      </w:r>
      <w:r>
        <w:rPr>
          <w:b w:val="0"/>
          <w:i/>
        </w:rPr>
        <w:t xml:space="preserve"> </w:t>
      </w:r>
      <w:r>
        <w:rPr>
          <w:b w:val="0"/>
          <w:i/>
        </w:rPr>
        <w:t>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w:t>
      </w:r>
    </w:p>
    <w:tbl>
      <w:tblPr>
        <w:tblStyle w:val="Table"/>
        <w:tblW w:type="pct" w:w="5000"/>
        <w:jc w:val="center"/>
        <w:tblLook w:firstRow="1" w:lastRow="0" w:firstColumn="0" w:lastColumn="0" w:noHBand="0" w:noVBand="0" w:val="0020"/>
        <w:tblCaption w:val="Table 7.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Pooled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Clinical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Legal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Math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claude-3.5-haiku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qwen-2.5-7b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llama-3.1-8b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gpt-3.5-turbo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34"/>
          <w:type w:val="continuous"/>
          <w:pgSz w:h="16838" w:w="11906"/>
          <w:pgMar w:bottom="1417" w:footer="720" w:gutter="0" w:header="720" w:left="1417" w:right="1417" w:top="1417"/>
          <w:lnNumType w:countBy="1" w:restart="continuous" w:distance="284"/>
          <w:cols w:num="1" w:space="340"/>
          <w:docGrid w:linePitch="360"/>
        </w:sectPr>
      </w:pPr>
    </w:p>
    <w:bookmarkEnd w:id="39"/>
    <w:bookmarkEnd w:id="40"/>
    <w:bookmarkStart w:id="41"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The composition-over-size finding explains</w:t>
      </w:r>
      <w:r>
        <w:t xml:space="preserve"> </w:t>
      </w:r>
      <w:r>
        <w:rPr>
          <w:i/>
          <w:iCs/>
        </w:rPr>
        <w:t xml:space="preserve">why</w:t>
      </w:r>
      <w:r>
        <w:t xml:space="preserve"> </w:t>
      </w:r>
      <w:r>
        <w:t xml:space="preserve">this label-free judging can be trusted.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bookmarkEnd w:id="41"/>
    <w:bookmarkStart w:id="42"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framework for</w:t>
      </w:r>
      <w:r>
        <w:t xml:space="preserve"> </w:t>
      </w:r>
      <w:r>
        <w:rPr>
          <w:i/>
          <w:iCs/>
        </w:rPr>
        <w:t xml:space="preserve">ensemble self-evaluation</w:t>
      </w:r>
      <w:r>
        <w:t xml:space="preserve"> </w:t>
      </w:r>
      <w:r>
        <w:t xml:space="preserve">that ranks language models for a specific application when neither labeled data nor a trustworthy benchmark is available: from a task description alone, a pool of models rotates through all three roles, teacher, student, and judge, to generate a fresh, contamination-resistant benchmark, answer it, and rank the candidates, jointly weighting questions by discriminative power and judges by consensus, with no human annotation. Because every model also answers as a student, the same responses supply the data for both label-free weights.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w:t>
      </w:r>
    </w:p>
    <w:p>
      <w:pPr>
        <w:pStyle w:val="BodyText"/>
        <w:jc w:val="both"/>
        <w:keepNext w:val="0"/>
        <w:keepLines w:val="0"/>
        <w:widowControl w:val="1"/>
      </w:pPr>
      <w:r>
        <w:t xml:space="preserve">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the same weighting down-weights non-discriminative</w:t>
      </w:r>
      <w:r>
        <w:t xml:space="preserve"> </w:t>
      </w:r>
      <w:r>
        <w:t xml:space="preserve">challenges, so saturated questions carry no spurious ranking signal. Because model rankings are</w:t>
      </w:r>
      <w:r>
        <w:t xml:space="preserve"> </w:t>
      </w:r>
      <w:r>
        <w:rPr>
          <w:i/>
          <w:iCs/>
        </w:rPr>
        <w:t xml:space="preserve">domain-specific</w:t>
      </w:r>
      <w:r>
        <w:t xml:space="preserve"> </w:t>
      </w:r>
      <w:r>
        <w:t xml:space="preserve">(three different models top four de-novo domains, so a generic leaderboard misdirects most</w:t>
      </w:r>
      <w:r>
        <w:t xml:space="preserve"> </w:t>
      </w:r>
      <w:r>
        <w:t xml:space="preserve">practitioners) and the same declarative pipeline runs unchanged across models and domains, re-running on</w:t>
      </w:r>
      <w:r>
        <w:t xml:space="preserve"> </w:t>
      </w:r>
      <w:r>
        <w:t xml:space="preserve">every model release, CoEval is a reusable instrument a team points at its own application when neither labeled data nor</w:t>
      </w:r>
      <w:r>
        <w:t xml:space="preserve"> </w:t>
      </w:r>
      <w:r>
        <w:t xml:space="preserve">a trustworthy benchmark exists, rather than a single static study. CoEval is open-source and fully reproducible.</w:t>
      </w:r>
    </w:p>
    <w:bookmarkEnd w:id="42"/>
    <w:bookmarkStart w:id="43" w:name="limitations"/>
    <w:p>
      <w:pPr>
        <w:pStyle w:val="Heading2"/>
        <w:keepNext/>
        <w:keepLines/>
        <w:widowControl w:val="1"/>
      </w:pPr>
      <w:r>
        <w:t xml:space="preserve">Limitations</w:t>
      </w:r>
    </w:p>
    <w:p>
      <w:pPr>
        <w:pStyle w:val="FirstParagraph"/>
        <w:jc w:val="both"/>
        <w:keepNext w:val="0"/>
        <w:keepLines w:val="0"/>
        <w:widowControl w:val="1"/>
      </w:pPr>
      <w:r>
        <w:t xml:space="preserve">Three boundary conditions delimit the validated regime. First, judge accuracy is anchored to objective exact-match QA,</w:t>
      </w:r>
      <w:r>
        <w:t xml:space="preserve"> </w:t>
      </w:r>
      <w:r>
        <w:t xml:space="preserve">where labels exist (Section 5.1,</w:t>
      </w:r>
      <w:r>
        <w:t xml:space="preserve"> </w:t>
      </w:r>
      <m:oMath>
        <m:r>
          <m:t>ρ</m:t>
        </m:r>
        <m:r>
          <m:rPr>
            <m:sty m:val="p"/>
          </m:rPr>
          <m:t>=</m:t>
        </m:r>
        <m:r>
          <m:t>0.86</m:t>
        </m:r>
      </m:oMath>
      <w:r>
        <w:t xml:space="preserve">), and to human ratings on two public meta-evaluation benchmarks</w:t>
      </w:r>
      <w:r>
        <w:t xml:space="preserve"> </w:t>
      </w:r>
      <w:r>
        <w:t xml:space="preserve">(Section 5.1, SummEval and LLMBar); on the subjective custom domains (Section 5.6) the panel's trustworthiness</w:t>
      </w:r>
      <w:r>
        <w:t xml:space="preserve"> </w:t>
      </w:r>
      <w:r>
        <w:t xml:space="preserve">rests on those anchors together with its measured bias and reliability properties (Sections 5.2–5.4), and</w:t>
      </w:r>
      <w:r>
        <w:t xml:space="preserve"> </w:t>
      </w:r>
      <w:r>
        <w:t xml:space="preserve">rankings are reported as cross-family intervals rather than against a held-out gold ranking, which by assumption does</w:t>
      </w:r>
      <w:r>
        <w:t xml:space="preserve"> </w:t>
      </w:r>
      <w:r>
        <w:t xml:space="preserve">not exist. Task-specific human evaluation on those domains is the natural convergent check and the primary direction for</w:t>
      </w:r>
      <w:r>
        <w:t xml:space="preserve"> </w:t>
      </w:r>
      <w:r>
        <w:t xml:space="preserve">future validation. Second, the study spans up to thirteen candidate models across four exact-match QA tasks, three</w:t>
      </w:r>
      <w:r>
        <w:t xml:space="preserve"> </w:t>
      </w:r>
      <w:r>
        <w:t xml:space="preserve">custom verticals, a four-domain divergence study (Section 5.7), and a thirteen-model rank-recovery check</w:t>
      </w:r>
      <w:r>
        <w:t xml:space="preserve"> </w:t>
      </w:r>
      <w:r>
        <w:t xml:space="preserve">(Section 5.2); wider model pools and further domains would extend the evidence. Third, the contamination guarantee</w:t>
      </w:r>
      <w:r>
        <w:t xml:space="preserve"> </w:t>
      </w:r>
      <w:r>
        <w:t xml:space="preserve">is structural (fresh per-run synthesis), validated by zero verbatim overlap and a controlled memorization study</w:t>
      </w:r>
      <w:r>
        <w:t xml:space="preserve"> </w:t>
      </w:r>
      <w:r>
        <w:t xml:space="preserve">(Section 5.5); verbatim n-gram overlap and membership-inference probes such as Min-K% [</w:t>
      </w:r>
      <w:hyperlink w:anchor="r36">
        <w:r>
          <w:rPr>
            <w:rStyle w:val="Hyperlink"/>
          </w:rPr>
          <w:t xml:space="preserve">36</w:t>
        </w:r>
      </w:hyperlink>
      <w:r>
        <w:t xml:space="preserve">]</w:t>
      </w:r>
      <w:r>
        <w:t xml:space="preserve"> </w:t>
      </w:r>
      <w:r>
        <w:t xml:space="preserve">answer complementary questions, the former whether an item is reproduced, the latter whether it was seen during</w:t>
      </w:r>
      <w:r>
        <w:t xml:space="preserve"> </w:t>
      </w:r>
      <w:r>
        <w:t xml:space="preserve">pretraining.</w:t>
      </w:r>
    </w:p>
    <w:bookmarkEnd w:id="43"/>
    <w:bookmarkStart w:id="44" w:name="ethics-statement"/>
    <w:p>
      <w:pPr>
        <w:pStyle w:val="Heading2"/>
        <w:keepNext/>
        <w:keepLines/>
        <w:widowControl w:val="1"/>
      </w:pPr>
      <w:r>
        <w:t xml:space="preserve">Ethics Statement</w:t>
      </w:r>
    </w:p>
    <w:p>
      <w:pPr>
        <w:pStyle w:val="FirstParagraph"/>
        <w:jc w:val="both"/>
        <w:keepNext w:val="0"/>
        <w:keepLines w:val="0"/>
        <w:widowControl w:val="1"/>
      </w:pPr>
      <w:r>
        <w:t xml:space="preserve">CoEval evaluates language models and involves no new human-subjects data collection. The human judgments used to</w:t>
      </w:r>
      <w:r>
        <w:t xml:space="preserve"> </w:t>
      </w:r>
      <w:r>
        <w:t xml:space="preserve">validate the judge (Section 5.1) come from existing public meta-evaluation benchmarks (SummEval, LLMBar) used</w:t>
      </w:r>
      <w:r>
        <w:t xml:space="preserve"> </w:t>
      </w:r>
      <w:r>
        <w:t xml:space="preserve">under their released licenses. The drug-interaction, clinical, and legal verticals (Section 5.6) are illustrations</w:t>
      </w:r>
      <w:r>
        <w:t xml:space="preserve"> </w:t>
      </w:r>
      <w:r>
        <w:t xml:space="preserve">of contamination-free benchmark generation, not validated decision-support systems, and should not be used for clinical</w:t>
      </w:r>
      <w:r>
        <w:t xml:space="preserve"> </w:t>
      </w:r>
      <w:r>
        <w:t xml:space="preserve">or legal decisions. Because CoEval generates evaluation items and scores them with language models, generated items and</w:t>
      </w:r>
      <w:r>
        <w:t xml:space="preserve"> </w:t>
      </w:r>
      <w:r>
        <w:t xml:space="preserve">rubrics can inherit model biases; the cross-family panel and the contamination checks mitigate but do not eliminate this</w:t>
      </w:r>
      <w:r>
        <w:t xml:space="preserve"> </w:t>
      </w:r>
      <w:r>
        <w:t xml:space="preserve">risk, and a practitioner applying CoEval in a high-stakes domain should pair it with human oversight.</w:t>
      </w:r>
    </w:p>
    <w:bookmarkEnd w:id="44"/>
    <w:bookmarkStart w:id="45" w:name="reproducibility"/>
    <w:p>
      <w:pPr>
        <w:pStyle w:val="Heading2"/>
        <w:keepNext/>
        <w:keepLines/>
        <w:widowControl w:val="1"/>
      </w:pPr>
      <w:r>
        <w:t xml:space="preserve">Reproducibility</w:t>
      </w:r>
    </w:p>
    <w:p>
      <w:pPr>
        <w:pStyle w:val="FirstParagraph"/>
        <w:jc w:val="both"/>
        <w:keepNext w:val="0"/>
        <w:keepLines w:val="0"/>
        <w:widowControl w:val="1"/>
      </w:pPr>
      <w:r>
        <w:t xml:space="preserve">Every experiment is driven by a declarative configuration file and is reproducible end to end. The framework, the</w:t>
      </w:r>
      <w:r>
        <w:t xml:space="preserve"> </w:t>
      </w:r>
      <w:r>
        <w:t xml:space="preserve">canonical prompt templates (Appendix C), the attribute and rubric specifications, the judge-panel definitions, and</w:t>
      </w:r>
      <w:r>
        <w:t xml:space="preserve"> </w:t>
      </w:r>
      <w:r>
        <w:t xml:space="preserve">the analysis code are released open-source, and the per-run scores and recovered rankings are recorded as artifacts. The</w:t>
      </w:r>
      <w:r>
        <w:t xml:space="preserve"> </w:t>
      </w:r>
      <w:r>
        <w:t xml:space="preserve">statistical estimators (ICC, bootstrap confidence intervals, the doubly-robust aggregator) are defined in</w:t>
      </w:r>
      <w:r>
        <w:t xml:space="preserve"> </w:t>
      </w:r>
      <w:r>
        <w:t xml:space="preserve">Appendix A.</w:t>
      </w:r>
    </w:p>
    <w:bookmarkEnd w:id="45"/>
    <w:bookmarkStart w:id="122"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 </w:t>
      </w:r>
      <w:bookmarkStart w:id="47"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6">
        <w:r>
          <w:rPr>
            <w:rStyle w:val="Hyperlink"/>
          </w:rPr>
          <w:t xml:space="preserve">arxiv.org/abs/2306.05685</w:t>
        </w:r>
      </w:hyperlink>
      <w:bookmarkEnd w:id="47"/>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 </w:t>
      </w:r>
      <w:bookmarkStart w:id="49"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8">
        <w:r>
          <w:rPr>
            <w:rStyle w:val="Hyperlink"/>
          </w:rPr>
          <w:t xml:space="preserve">arxiv.org/abs/2303.16634</w:t>
        </w:r>
      </w:hyperlink>
      <w:bookmarkEnd w:id="49"/>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 </w:t>
      </w:r>
      <w:bookmarkStart w:id="51"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50">
        <w:r>
          <w:rPr>
            <w:rStyle w:val="Hyperlink"/>
          </w:rPr>
          <w:t xml:space="preserve">arxiv.org/abs/2405.01535</w:t>
        </w:r>
      </w:hyperlink>
      <w:bookmarkEnd w:id="51"/>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4. </w:t>
      </w:r>
      <w:bookmarkStart w:id="53"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2">
        <w:r>
          <w:rPr>
            <w:rStyle w:val="Hyperlink"/>
          </w:rPr>
          <w:t xml:space="preserve">arxiv.org/abs/2407.10817</w:t>
        </w:r>
      </w:hyperlink>
      <w:bookmarkEnd w:id="53"/>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5. </w:t>
      </w:r>
      <w:bookmarkStart w:id="55"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4">
        <w:r>
          <w:rPr>
            <w:rStyle w:val="Hyperlink"/>
          </w:rPr>
          <w:t xml:space="preserve">arxiv.org/abs/2404.18796</w:t>
        </w:r>
      </w:hyperlink>
      <w:bookmarkEnd w:id="55"/>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6. </w:t>
      </w:r>
      <w:bookmarkStart w:id="57"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6">
        <w:r>
          <w:rPr>
            <w:rStyle w:val="Hyperlink"/>
          </w:rPr>
          <w:t xml:space="preserve">arxiv.org/abs/2410.12784</w:t>
        </w:r>
      </w:hyperlink>
      <w:bookmarkEnd w:id="57"/>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7. </w:t>
      </w:r>
      <w:bookmarkStart w:id="59"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8">
        <w:r>
          <w:rPr>
            <w:rStyle w:val="Hyperlink"/>
          </w:rPr>
          <w:t xml:space="preserve">arxiv.org/abs/2406.05761</w:t>
        </w:r>
      </w:hyperlink>
      <w:bookmarkEnd w:id="59"/>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8. </w:t>
      </w:r>
      <w:bookmarkStart w:id="61"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60">
        <w:r>
          <w:rPr>
            <w:rStyle w:val="Hyperlink"/>
          </w:rPr>
          <w:t xml:space="preserve">arxiv.org/abs/2404.04475</w:t>
        </w:r>
      </w:hyperlink>
      <w:bookmarkEnd w:id="61"/>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9. </w:t>
      </w:r>
      <w:bookmarkStart w:id="63" w:name="r9"/>
      <w:r>
        <w:t xml:space="preserve">Li, X. L., Kazemi, M., et al. (2024).</w:t>
      </w:r>
      <w:r>
        <w:t xml:space="preserve"> </w:t>
      </w:r>
      <w:r>
        <w:rPr>
          <w:i/>
          <w:iCs/>
        </w:rPr>
        <w:t xml:space="preserve">AutoBencher: Towards Declarative Benchmark Construction.</w:t>
      </w:r>
      <w:r>
        <w:t xml:space="preserve"> </w:t>
      </w:r>
      <w:hyperlink r:id="rId62">
        <w:r>
          <w:rPr>
            <w:rStyle w:val="Hyperlink"/>
          </w:rPr>
          <w:t xml:space="preserve">arxiv.org/abs/2407.08351</w:t>
        </w:r>
      </w:hyperlink>
      <w:bookmarkEnd w:id="63"/>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10. </w:t>
      </w:r>
      <w:bookmarkStart w:id="65"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4">
        <w:r>
          <w:rPr>
            <w:rStyle w:val="Hyperlink"/>
          </w:rPr>
          <w:t xml:space="preserve">arxiv.org/abs/2410.22584</w:t>
        </w:r>
      </w:hyperlink>
      <w:bookmarkEnd w:id="65"/>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11. </w:t>
      </w:r>
      <w:bookmarkStart w:id="67" w:name="r11"/>
      <w:r>
        <w:t xml:space="preserve">Shashidhar, S., et al. (2025).</w:t>
      </w:r>
      <w:r>
        <w:t xml:space="preserve"> </w:t>
      </w:r>
      <w:r>
        <w:rPr>
          <w:i/>
          <w:iCs/>
        </w:rPr>
        <w:t xml:space="preserve">YourBench: Easy Custom Evaluation Sets for Everyone.</w:t>
      </w:r>
      <w:r>
        <w:t xml:space="preserve"> </w:t>
      </w:r>
      <w:hyperlink r:id="rId66">
        <w:r>
          <w:rPr>
            <w:rStyle w:val="Hyperlink"/>
          </w:rPr>
          <w:t xml:space="preserve">arxiv.org/abs/2504.01833</w:t>
        </w:r>
      </w:hyperlink>
      <w:bookmarkEnd w:id="67"/>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12. </w:t>
      </w:r>
      <w:bookmarkStart w:id="69"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8">
        <w:r>
          <w:rPr>
            <w:rStyle w:val="Hyperlink"/>
          </w:rPr>
          <w:t xml:space="preserve">arxiv.org/abs/2405.00332</w:t>
        </w:r>
      </w:hyperlink>
      <w:bookmarkEnd w:id="69"/>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13. </w:t>
      </w:r>
      <w:bookmarkStart w:id="71" w:name="r13"/>
      <w:r>
        <w:t xml:space="preserve">Xu, C., et al. (2025).</w:t>
      </w:r>
      <w:r>
        <w:t xml:space="preserve"> </w:t>
      </w:r>
      <w:r>
        <w:rPr>
          <w:i/>
          <w:iCs/>
        </w:rPr>
        <w:t xml:space="preserve">Benchmark Data Contamination of Large Language Models: A Survey.</w:t>
      </w:r>
      <w:r>
        <w:t xml:space="preserve"> </w:t>
      </w:r>
      <w:hyperlink r:id="rId70">
        <w:r>
          <w:rPr>
            <w:rStyle w:val="Hyperlink"/>
          </w:rPr>
          <w:t xml:space="preserve">arxiv.org/abs/2502.14425</w:t>
        </w:r>
      </w:hyperlink>
      <w:bookmarkEnd w:id="71"/>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14. </w:t>
      </w:r>
      <w:bookmarkStart w:id="73"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2">
        <w:r>
          <w:rPr>
            <w:rStyle w:val="Hyperlink"/>
          </w:rPr>
          <w:t xml:space="preserve">arxiv.org/abs/2104.14337</w:t>
        </w:r>
      </w:hyperlink>
      <w:bookmarkEnd w:id="73"/>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15. </w:t>
      </w:r>
      <w:bookmarkStart w:id="75"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4">
        <w:r>
          <w:rPr>
            <w:rStyle w:val="Hyperlink"/>
          </w:rPr>
          <w:t xml:space="preserve">arxiv.org/abs/2502.01534</w:t>
        </w:r>
      </w:hyperlink>
      <w:bookmarkEnd w:id="75"/>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16. </w:t>
      </w:r>
      <w:bookmarkStart w:id="77"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6">
        <w:r>
          <w:rPr>
            <w:rStyle w:val="Hyperlink"/>
          </w:rPr>
          <w:t xml:space="preserve">arxiv.org/abs/2508.06709</w:t>
        </w:r>
      </w:hyperlink>
      <w:bookmarkEnd w:id="77"/>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17. </w:t>
      </w:r>
      <w:bookmarkStart w:id="79"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8">
        <w:r>
          <w:rPr>
            <w:rStyle w:val="Hyperlink"/>
          </w:rPr>
          <w:t xml:space="preserve">arxiv.org/abs/2410.02736</w:t>
        </w:r>
      </w:hyperlink>
      <w:bookmarkEnd w:id="79"/>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18. </w:t>
      </w:r>
      <w:bookmarkStart w:id="81" w:name="r18"/>
      <w:r>
        <w:t xml:space="preserve">Wataoka, K., Takahashi, T., Ri, R. (2024).</w:t>
      </w:r>
      <w:r>
        <w:t xml:space="preserve"> </w:t>
      </w:r>
      <w:r>
        <w:rPr>
          <w:i/>
          <w:iCs/>
        </w:rPr>
        <w:t xml:space="preserve">Self-Preference Bias in LLM-as-a-Judge.</w:t>
      </w:r>
      <w:r>
        <w:t xml:space="preserve"> </w:t>
      </w:r>
      <w:hyperlink r:id="rId80">
        <w:r>
          <w:rPr>
            <w:rStyle w:val="Hyperlink"/>
          </w:rPr>
          <w:t xml:space="preserve">arxiv.org/abs/2410.21819</w:t>
        </w:r>
      </w:hyperlink>
      <w:bookmarkEnd w:id="81"/>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19. </w:t>
      </w:r>
      <w:bookmarkStart w:id="83" w:name="r19"/>
      <w:r>
        <w:t xml:space="preserve">Gu, J., Jiang, X., Shi, Z., et al. (2024).</w:t>
      </w:r>
      <w:r>
        <w:t xml:space="preserve"> </w:t>
      </w:r>
      <w:r>
        <w:rPr>
          <w:i/>
          <w:iCs/>
        </w:rPr>
        <w:t xml:space="preserve">A Survey on LLM-as-a-Judge.</w:t>
      </w:r>
      <w:r>
        <w:t xml:space="preserve"> </w:t>
      </w:r>
      <w:hyperlink r:id="rId82">
        <w:r>
          <w:rPr>
            <w:rStyle w:val="Hyperlink"/>
          </w:rPr>
          <w:t xml:space="preserve">arxiv.org/abs/2411.15594</w:t>
        </w:r>
      </w:hyperlink>
      <w:bookmarkEnd w:id="83"/>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20. </w:t>
      </w:r>
      <w:bookmarkStart w:id="85"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4">
        <w:r>
          <w:rPr>
            <w:rStyle w:val="Hyperlink"/>
          </w:rPr>
          <w:t xml:space="preserve">arxiv.org/abs/2411.16594</w:t>
        </w:r>
      </w:hyperlink>
      <w:bookmarkEnd w:id="85"/>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21. </w:t>
      </w:r>
      <w:bookmarkStart w:id="87"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6">
        <w:r>
          <w:rPr>
            <w:rStyle w:val="Hyperlink"/>
          </w:rPr>
          <w:t xml:space="preserve">arxiv.org/abs/2308.07201</w:t>
        </w:r>
      </w:hyperlink>
      <w:bookmarkEnd w:id="87"/>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22. </w:t>
      </w:r>
      <w:bookmarkStart w:id="89"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8">
        <w:r>
          <w:rPr>
            <w:rStyle w:val="Hyperlink"/>
          </w:rPr>
          <w:t xml:space="preserve">arxiv.org/abs/2406.19314</w:t>
        </w:r>
      </w:hyperlink>
      <w:bookmarkEnd w:id="89"/>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23. </w:t>
      </w:r>
      <w:bookmarkStart w:id="91"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90">
        <w:r>
          <w:rPr>
            <w:rStyle w:val="Hyperlink"/>
          </w:rPr>
          <w:t xml:space="preserve">arxiv.org/abs/2403.07974</w:t>
        </w:r>
      </w:hyperlink>
      <w:bookmarkEnd w:id="91"/>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24. </w:t>
      </w:r>
      <w:bookmarkStart w:id="93"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2">
        <w:r>
          <w:rPr>
            <w:rStyle w:val="Hyperlink"/>
          </w:rPr>
          <w:t xml:space="preserve">arxiv.org/abs/2504.03846</w:t>
        </w:r>
      </w:hyperlink>
      <w:bookmarkEnd w:id="93"/>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25. </w:t>
      </w:r>
      <w:bookmarkStart w:id="95"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4">
        <w:r>
          <w:rPr>
            <w:rStyle w:val="Hyperlink"/>
          </w:rPr>
          <w:t xml:space="preserve">arxiv.org/abs/2408.08808</w:t>
        </w:r>
      </w:hyperlink>
      <w:bookmarkEnd w:id="95"/>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26. </w:t>
      </w:r>
      <w:bookmarkStart w:id="97" w:name="r26"/>
      <w:r>
        <w:t xml:space="preserve">Li, Y., et al. (2025).</w:t>
      </w:r>
      <w:r>
        <w:t xml:space="preserve"> </w:t>
      </w:r>
      <w:r>
        <w:rPr>
          <w:i/>
          <w:iCs/>
        </w:rPr>
        <w:t xml:space="preserve">Leveraging LLMs as Meta-Judges: A Multi-Agent Framework.</w:t>
      </w:r>
      <w:r>
        <w:t xml:space="preserve"> </w:t>
      </w:r>
      <w:hyperlink r:id="rId96">
        <w:r>
          <w:rPr>
            <w:rStyle w:val="Hyperlink"/>
          </w:rPr>
          <w:t xml:space="preserve">arxiv.org/abs/2504.17087</w:t>
        </w:r>
      </w:hyperlink>
      <w:bookmarkEnd w:id="97"/>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27. </w:t>
      </w:r>
      <w:bookmarkStart w:id="99"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8">
        <w:r>
          <w:rPr>
            <w:rStyle w:val="Hyperlink"/>
          </w:rPr>
          <w:t xml:space="preserve">arxiv.org/abs/2602.16610</w:t>
        </w:r>
      </w:hyperlink>
      <w:bookmarkEnd w:id="99"/>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28. </w:t>
      </w:r>
      <w:bookmarkStart w:id="101"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100">
        <w:r>
          <w:rPr>
            <w:rStyle w:val="Hyperlink"/>
          </w:rPr>
          <w:t xml:space="preserve">arxiv.org/abs/2603.00039</w:t>
        </w:r>
      </w:hyperlink>
      <w:bookmarkEnd w:id="101"/>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29. </w:t>
      </w:r>
      <w:bookmarkStart w:id="103"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102">
        <w:r>
          <w:rPr>
            <w:rStyle w:val="Hyperlink"/>
          </w:rPr>
          <w:t xml:space="preserve">arxiv.org/abs/2601.21817</w:t>
        </w:r>
      </w:hyperlink>
      <w:bookmarkEnd w:id="103"/>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30. </w:t>
      </w:r>
      <w:bookmarkStart w:id="105"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4">
        <w:r>
          <w:rPr>
            <w:rStyle w:val="Hyperlink"/>
          </w:rPr>
          <w:t xml:space="preserve">arxiv.org/abs/2502.14678</w:t>
        </w:r>
      </w:hyperlink>
      <w:bookmarkEnd w:id="105"/>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31. </w:t>
      </w:r>
      <w:bookmarkStart w:id="107"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6">
        <w:r>
          <w:rPr>
            <w:rStyle w:val="Hyperlink"/>
          </w:rPr>
          <w:t xml:space="preserve">arxiv.org/abs/2501.12789</w:t>
        </w:r>
      </w:hyperlink>
      <w:bookmarkEnd w:id="107"/>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32. </w:t>
      </w:r>
      <w:bookmarkStart w:id="109"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8">
        <w:r>
          <w:rPr>
            <w:rStyle w:val="Hyperlink"/>
          </w:rPr>
          <w:t xml:space="preserve">arxiv.org/abs/2502.17521</w:t>
        </w:r>
      </w:hyperlink>
      <w:bookmarkEnd w:id="109"/>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33. </w:t>
      </w:r>
      <w:bookmarkStart w:id="111"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10">
        <w:r>
          <w:rPr>
            <w:rStyle w:val="Hyperlink"/>
          </w:rPr>
          <w:t xml:space="preserve">doi.org/10.2307/2346806</w:t>
        </w:r>
      </w:hyperlink>
      <w:bookmarkEnd w:id="111"/>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34. </w:t>
      </w:r>
      <w:bookmarkStart w:id="113" w:name="r34"/>
      <w:r>
        <w:t xml:space="preserve">Wang, Y., Yu, Z., Zeng, Z., et al. (2024).</w:t>
      </w:r>
      <w:r>
        <w:t xml:space="preserve"> </w:t>
      </w:r>
      <w:r>
        <w:rPr>
          <w:i/>
          <w:iCs/>
        </w:rPr>
        <w:t xml:space="preserve">PandaLM: An Automatic Evaluation Benchmark for LLM</w:t>
      </w:r>
      <w:r>
        <w:rPr>
          <w:i/>
          <w:iCs/>
        </w:rPr>
        <w:t xml:space="preserve"> </w:t>
      </w:r>
      <w:r>
        <w:rPr>
          <w:i/>
          <w:iCs/>
        </w:rPr>
        <w:t xml:space="preserve">Instruction Tuning Optimization.</w:t>
      </w:r>
      <w:r>
        <w:t xml:space="preserve"> </w:t>
      </w:r>
      <w:r>
        <w:t xml:space="preserve">ICLR.</w:t>
      </w:r>
      <w:r>
        <w:t xml:space="preserve"> </w:t>
      </w:r>
      <w:hyperlink r:id="rId112">
        <w:r>
          <w:rPr>
            <w:rStyle w:val="Hyperlink"/>
          </w:rPr>
          <w:t xml:space="preserve">arxiv.org/abs/2306.05087</w:t>
        </w:r>
      </w:hyperlink>
      <w:bookmarkEnd w:id="113"/>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35. </w:t>
      </w:r>
      <w:bookmarkStart w:id="115" w:name="r35"/>
      <w:r>
        <w:t xml:space="preserve">Zhu, L., Wang, X., Wang, X. (2023).</w:t>
      </w:r>
      <w:r>
        <w:t xml:space="preserve"> </w:t>
      </w:r>
      <w:r>
        <w:rPr>
          <w:i/>
          <w:iCs/>
        </w:rPr>
        <w:t xml:space="preserve">JudgeLM: Fine-tuned Large Language Models are Scalable</w:t>
      </w:r>
      <w:r>
        <w:rPr>
          <w:i/>
          <w:iCs/>
        </w:rPr>
        <w:t xml:space="preserve"> </w:t>
      </w:r>
      <w:r>
        <w:rPr>
          <w:i/>
          <w:iCs/>
        </w:rPr>
        <w:t xml:space="preserve">Judges.</w:t>
      </w:r>
      <w:r>
        <w:t xml:space="preserve"> </w:t>
      </w:r>
      <w:hyperlink r:id="rId114">
        <w:r>
          <w:rPr>
            <w:rStyle w:val="Hyperlink"/>
          </w:rPr>
          <w:t xml:space="preserve">arxiv.org/abs/2310.17631</w:t>
        </w:r>
      </w:hyperlink>
      <w:bookmarkEnd w:id="115"/>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36. </w:t>
      </w:r>
      <w:bookmarkStart w:id="117" w:name="r36"/>
      <w:r>
        <w:t xml:space="preserve">Shi, W., Ajith, A., Xia, M., et al. (2024).</w:t>
      </w:r>
      <w:r>
        <w:t xml:space="preserve"> </w:t>
      </w:r>
      <w:r>
        <w:rPr>
          <w:i/>
          <w:iCs/>
        </w:rPr>
        <w:t xml:space="preserve">Detecting Pretraining Data from Large Language</w:t>
      </w:r>
      <w:r>
        <w:rPr>
          <w:i/>
          <w:iCs/>
        </w:rPr>
        <w:t xml:space="preserve"> </w:t>
      </w:r>
      <w:r>
        <w:rPr>
          <w:i/>
          <w:iCs/>
        </w:rPr>
        <w:t xml:space="preserve">Models.</w:t>
      </w:r>
      <w:r>
        <w:t xml:space="preserve"> </w:t>
      </w:r>
      <w:r>
        <w:t xml:space="preserve">ICLR.</w:t>
      </w:r>
      <w:r>
        <w:t xml:space="preserve"> </w:t>
      </w:r>
      <w:hyperlink r:id="rId116">
        <w:r>
          <w:rPr>
            <w:rStyle w:val="Hyperlink"/>
          </w:rPr>
          <w:t xml:space="preserve">arxiv.org/abs/2310.16789</w:t>
        </w:r>
      </w:hyperlink>
      <w:bookmarkEnd w:id="117"/>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37. </w:t>
      </w:r>
      <w:bookmarkStart w:id="119" w:name="r37"/>
      <w:r>
        <w:t xml:space="preserve">Fabbri, A. R., Kryściński, W., McCann, B., Xiong, C., Socher, R., Radev, D. (2021).</w:t>
      </w:r>
      <w:r>
        <w:t xml:space="preserve"> </w:t>
      </w:r>
      <w:r>
        <w:rPr>
          <w:i/>
          <w:iCs/>
        </w:rPr>
        <w:t xml:space="preserve">SummEval: Re-evaluating Summarization Evaluation.</w:t>
      </w:r>
      <w:r>
        <w:t xml:space="preserve"> </w:t>
      </w:r>
      <w:r>
        <w:t xml:space="preserve">Transactions of the Association for Computational</w:t>
      </w:r>
      <w:r>
        <w:t xml:space="preserve"> </w:t>
      </w:r>
      <w:r>
        <w:t xml:space="preserve">Linguistics, 9, 391–409.</w:t>
      </w:r>
      <w:r>
        <w:t xml:space="preserve"> </w:t>
      </w:r>
      <w:hyperlink r:id="rId118">
        <w:r>
          <w:rPr>
            <w:rStyle w:val="Hyperlink"/>
          </w:rPr>
          <w:t xml:space="preserve">arxiv.org/abs/2007.12626</w:t>
        </w:r>
      </w:hyperlink>
      <w:bookmarkEnd w:id="119"/>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38. </w:t>
      </w:r>
      <w:bookmarkStart w:id="121" w:name="r38"/>
      <w:r>
        <w:t xml:space="preserve">Zeng, Z., Yu, J., Gao, T., Meng, Y., Goyal, T., Chen, D. (2024).</w:t>
      </w:r>
      <w:r>
        <w:t xml:space="preserve"> </w:t>
      </w:r>
      <w:r>
        <w:rPr>
          <w:i/>
          <w:iCs/>
        </w:rPr>
        <w:t xml:space="preserve">Evaluating Large Language</w:t>
      </w:r>
      <w:r>
        <w:rPr>
          <w:i/>
          <w:iCs/>
        </w:rPr>
        <w:t xml:space="preserve"> </w:t>
      </w:r>
      <w:r>
        <w:rPr>
          <w:i/>
          <w:iCs/>
        </w:rPr>
        <w:t xml:space="preserve">Models at Evaluating Instruction Following.</w:t>
      </w:r>
      <w:r>
        <w:t xml:space="preserve"> </w:t>
      </w:r>
      <w:r>
        <w:t xml:space="preserve">ICLR.</w:t>
      </w:r>
      <w:r>
        <w:t xml:space="preserve"> </w:t>
      </w:r>
      <w:hyperlink r:id="rId120">
        <w:r>
          <w:rPr>
            <w:rStyle w:val="Hyperlink"/>
          </w:rPr>
          <w:t xml:space="preserve">arxiv.org/abs/2310.07641</w:t>
        </w:r>
      </w:hyperlink>
      <w:bookmarkEnd w:id="121"/>
    </w:p>
    <w:bookmarkEnd w:id="122"/>
    <w:bookmarkStart w:id="123"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23"/>
    <w:bookmarkStart w:id="127"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2766974" cy="2411178"/>
            <wp:effectExtent b="0" l="0" r="0" t="0"/>
            <wp:docPr descr="Heatmap of pairwise semantic similarity between auto-generated rubric criteria" title="" id="125" name="Picture"/>
            <a:graphic>
              <a:graphicData uri="http://schemas.openxmlformats.org/drawingml/2006/picture">
                <pic:pic>
                  <pic:nvPicPr>
                    <pic:cNvPr descr="figures/f5_rubric_heatmap.png" id="126" name="Picture"/>
                    <pic:cNvPicPr>
                      <a:picLocks noChangeArrowheads="1" noChangeAspect="1"/>
                    </pic:cNvPicPr>
                  </pic:nvPicPr>
                  <pic:blipFill>
                    <a:blip r:embed="rId124"/>
                    <a:stretch>
                      <a:fillRect/>
                    </a:stretch>
                  </pic:blipFill>
                  <pic:spPr bwMode="auto">
                    <a:xfrm>
                      <a:off x="0" y="0"/>
                      <a:ext cx="2766974" cy="241117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Pairwise semantic similarity of the 22 auto-generated rubric criteria across four tasks. Block structure along the diagonal reflects task specialization (within-task 0.342 &gt; cross-task 0.294), while a recurring “completeness” dimension forms a cross-task cluster.</w:t>
      </w:r>
    </w:p>
    <w:bookmarkEnd w:id="127"/>
    <w:bookmarkStart w:id="128" w:name="appC"/>
    <w:p>
      <w:pPr>
        <w:pStyle w:val="Heading2"/>
        <w:keepNext/>
        <w:keepLines/>
        <w:widowControl w:val="1"/>
      </w:pPr>
      <w:r>
        <w:t xml:space="preserve">Appendix C. Worked examples on data-scarce domains</w:t>
      </w:r>
    </w:p>
    <w:p>
      <w:pPr>
        <w:pStyle w:val="FirstParagraph"/>
        <w:jc w:val="both"/>
        <w:keepNext w:val="0"/>
        <w:keepLines w:val="0"/>
        <w:widowControl w:val="1"/>
      </w:pPr>
      <w:r>
        <w:t xml:space="preserve">The three verticals of Section 5.6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6).</w:t>
      </w:r>
    </w:p>
    <w:p>
      <w:pPr>
        <w:pStyle w:val="BodyText"/>
        <w:jc w:val="both"/>
        <w:keepNext w:val="0"/>
        <w:keepLines w:val="0"/>
        <w:widowControl w:val="1"/>
      </w:pPr>
      <w:r>
        <w:t xml:space="preserve">The pipeline is four templated calls to the teacher, all instantiated from the one-line</w:t>
      </w:r>
      <w:r>
        <w:t xml:space="preserve"> </w:t>
      </w:r>
      <w:r>
        <w:rPr>
          <w:rStyle w:val="VerbatimChar"/>
        </w:rPr>
        <w:t xml:space="preserve">task_description</w:t>
      </w:r>
      <w:r>
        <w:t xml:space="preserve"> </w:t>
      </w:r>
      <w:r>
        <w:t xml:space="preserve">(and an optional</w:t>
      </w:r>
      <w:r>
        <w:t xml:space="preserve"> </w:t>
      </w:r>
      <w:r>
        <w:rPr>
          <w:rStyle w:val="VerbatimChar"/>
        </w:rPr>
        <w:t xml:space="preserve">output_description</w:t>
      </w:r>
      <w:r>
        <w:t xml:space="preserve">). The first two build the attribute</w:t>
      </w:r>
      <w:r>
        <w:t xml:space="preserve"> </w:t>
      </w:r>
      <w:r>
        <w:t xml:space="preserve">space the items are stratified over; the third writes the rubric the panel scores against; the fourth generates one</w:t>
      </w:r>
      <w:r>
        <w:t xml:space="preserve"> </w:t>
      </w:r>
      <w:r>
        <w:t xml:space="preserve">contamination-free item per sampled attribute cell. The templates below are the verbatim framework prompts; a sampled</w:t>
      </w:r>
      <w:r>
        <w:t xml:space="preserve"> </w:t>
      </w:r>
      <w:r>
        <w:t xml:space="preserve">cell such as</w:t>
      </w:r>
      <w:r>
        <w:t xml:space="preserve"> </w:t>
      </w:r>
      <w:r>
        <w:rPr>
          <w:i/>
          <w:iCs/>
        </w:rPr>
        <w:t xml:space="preserve">severity = moderate, mechanism = pharmacokinetic, patient_context = pregnancy</w:t>
      </w:r>
      <w:r>
        <w:t xml:space="preserve"> </w:t>
      </w:r>
      <w:r>
        <w:t xml:space="preserve">is what binds</w:t>
      </w:r>
      <w:r>
        <w:t xml:space="preserve"> </w:t>
      </w:r>
      <w:r>
        <w:rPr>
          <w:rStyle w:val="VerbatimChar"/>
        </w:rPr>
        <w:t xml:space="preserve">{target_attributes}</w:t>
      </w:r>
      <w:r>
        <w:t xml:space="preserve"> </w:t>
      </w:r>
      <w:r>
        <w:t xml:space="preserve">and yields the corresponding DDI item shown after Table C1.</w:t>
      </w:r>
    </w:p>
    <w:p>
      <w:pPr>
        <w:pStyle w:val="BodyText"/>
        <w:jc w:val="both"/>
        <w:keepNext w:val="0"/>
        <w:keepLines w:val="0"/>
        <w:widowControl w:val="1"/>
      </w:pPr>
      <w:r>
        <w:rPr>
          <w:b/>
          <w:bCs/>
        </w:rPr>
        <w:t xml:space="preserve">(1) Target-attribute map.</w:t>
      </w:r>
      <w:r>
        <w:t xml:space="preserve"> </w:t>
      </w:r>
      <w:r>
        <w:t xml:space="preserve">Define the axes the benchmark varies over.</w:t>
      </w:r>
    </w:p>
    <w:p>
      <w:pPr>
        <w:pStyle w:val="BodyText"/>
        <w:jc w:val="both"/>
        <w:keepNext w:val="0"/>
        <w:keepLines w:val="0"/>
        <w:widowControl w:val="1"/>
      </w:pPr>
      <w:r>
        <w:rPr>
          <w:rStyle w:val="VerbatimChar"/>
        </w:rPr>
        <w:t xml:space="preserve">Generate synthetic data specifications for the {task_description} task by defining an</w:t>
      </w:r>
      <w:r>
        <w:br/>
      </w:r>
      <w:r>
        <w:rPr>
          <w:rStyle w:val="VerbatimChar"/>
        </w:rPr>
        <w:t xml:space="preserve">attribute space that characterizes possible outputs. Return a JSON object mapping each</w:t>
      </w:r>
      <w:r>
        <w:br/>
      </w:r>
      <w:r>
        <w:rPr>
          <w:rStyle w:val="VerbatimChar"/>
        </w:rPr>
        <w:t xml:space="preserve">attribute name to a list of possible values, and output only the JSON.</w:t>
      </w:r>
    </w:p>
    <w:p>
      <w:pPr>
        <w:pStyle w:val="FirstParagraph"/>
        <w:jc w:val="both"/>
        <w:keepNext w:val="0"/>
        <w:keepLines w:val="0"/>
        <w:widowControl w:val="1"/>
      </w:pPr>
      <w:r>
        <w:rPr>
          <w:b/>
          <w:bCs/>
        </w:rPr>
        <w:t xml:space="preserve">(2) Nuance map.</w:t>
      </w:r>
      <w:r>
        <w:t xml:space="preserve"> </w:t>
      </w:r>
      <w:r>
        <w:t xml:space="preserve">Add surface-variation axes that change phrasing without changing the answer.</w:t>
      </w:r>
    </w:p>
    <w:p>
      <w:pPr>
        <w:pStyle w:val="BodyText"/>
        <w:jc w:val="both"/>
        <w:keepNext w:val="0"/>
        <w:keepLines w:val="0"/>
        <w:widowControl w:val="1"/>
      </w:pPr>
      <w:r>
        <w:rPr>
          <w:rStyle w:val="VerbatimChar"/>
        </w:rPr>
        <w:t xml:space="preserve">Define synthetic data specifications for the {task_description} task by creating a nuanced</w:t>
      </w:r>
      <w:r>
        <w:br/>
      </w:r>
      <w:r>
        <w:rPr>
          <w:rStyle w:val="VerbatimChar"/>
        </w:rPr>
        <w:t xml:space="preserve">variability-focused attribute space. Include only attributes that change document phrasing,</w:t>
      </w:r>
      <w:r>
        <w:br/>
      </w:r>
      <w:r>
        <w:rPr>
          <w:rStyle w:val="VerbatimChar"/>
        </w:rPr>
        <w:t xml:space="preserve">structure, noise, and context, without changing the underlying outputs. Return a single JSON</w:t>
      </w:r>
      <w:r>
        <w:br/>
      </w:r>
      <w:r>
        <w:rPr>
          <w:rStyle w:val="VerbatimChar"/>
        </w:rPr>
        <w:t xml:space="preserve">object mapping each attribute name to a list of allowed values, and output only the JSON.</w:t>
      </w:r>
    </w:p>
    <w:p>
      <w:pPr>
        <w:pStyle w:val="FirstParagraph"/>
        <w:jc w:val="both"/>
        <w:keepNext w:val="0"/>
        <w:keepLines w:val="0"/>
        <w:widowControl w:val="1"/>
      </w:pPr>
      <w:r>
        <w:rPr>
          <w:b/>
          <w:bCs/>
        </w:rPr>
        <w:t xml:space="preserve">(3) Auto-rubric.</w:t>
      </w:r>
      <w:r>
        <w:t xml:space="preserve"> </w:t>
      </w:r>
      <w:r>
        <w:t xml:space="preserve">Write the task-specific scoring factors the judges apply.</w:t>
      </w:r>
    </w:p>
    <w:p>
      <w:pPr>
        <w:pStyle w:val="BodyText"/>
        <w:jc w:val="both"/>
        <w:keepNext w:val="0"/>
        <w:keepLines w:val="0"/>
        <w:widowControl w:val="1"/>
      </w:pPr>
      <w:r>
        <w:rPr>
          <w:rStyle w:val="VerbatimChar"/>
        </w:rPr>
        <w:t xml:space="preserve">For the task {task_description}, where the model's output is {output_description}, create an</w:t>
      </w:r>
      <w:r>
        <w:br/>
      </w:r>
      <w:r>
        <w:rPr>
          <w:rStyle w:val="VerbatimChar"/>
        </w:rPr>
        <w:t xml:space="preserve">evaluation rubric. Return only a JSON object where each key is a quality factor, and each</w:t>
      </w:r>
      <w:r>
        <w:br/>
      </w:r>
      <w:r>
        <w:rPr>
          <w:rStyle w:val="VerbatimChar"/>
        </w:rPr>
        <w:t xml:space="preserve">value is a concise description of that factor. Output only the JSON.</w:t>
      </w:r>
    </w:p>
    <w:p>
      <w:pPr>
        <w:pStyle w:val="FirstParagraph"/>
        <w:jc w:val="both"/>
        <w:keepNext w:val="0"/>
        <w:keepLines w:val="0"/>
        <w:widowControl w:val="1"/>
      </w:pPr>
      <w:r>
        <w:rPr>
          <w:b/>
          <w:bCs/>
        </w:rPr>
        <w:t xml:space="preserve">(4) Item synthesis.</w:t>
      </w:r>
      <w:r>
        <w:t xml:space="preserve"> </w:t>
      </w:r>
      <w:r>
        <w:t xml:space="preserve">Generate one realistic item for a sampled attribute cell.</w:t>
      </w:r>
    </w:p>
    <w:p>
      <w:pPr>
        <w:pStyle w:val="BodyText"/>
        <w:jc w:val="both"/>
        <w:keepNext w:val="0"/>
        <w:keepLines w:val="0"/>
        <w:widowControl w:val="1"/>
      </w:pPr>
      <w:r>
        <w:rPr>
          <w:rStyle w:val="VerbatimChar"/>
        </w:rPr>
        <w:t xml:space="preserve">Generate a realistic benchmark data point.</w:t>
      </w:r>
      <w:r>
        <w:br/>
      </w:r>
      <w:r>
        <w:rPr>
          <w:rStyle w:val="VerbatimChar"/>
        </w:rPr>
        <w:t xml:space="preserve">Task: {task_description}</w:t>
      </w:r>
      <w:r>
        <w:br/>
      </w:r>
      <w:r>
        <w:rPr>
          <w:rStyle w:val="VerbatimChar"/>
        </w:rPr>
        <w:t xml:space="preserve">Output format: {output_description}</w:t>
      </w:r>
      <w:r>
        <w:br/>
      </w:r>
      <w:r>
        <w:rPr>
          <w:rStyle w:val="VerbatimChar"/>
        </w:rPr>
        <w:t xml:space="preserve">Required attributes: {target_attributes}</w:t>
      </w:r>
      <w:r>
        <w:br/>
      </w:r>
      <w:r>
        <w:rPr>
          <w:rStyle w:val="VerbatimChar"/>
        </w:rPr>
        <w:t xml:space="preserve">Nuance: {nuanced_attributes}</w:t>
      </w:r>
      <w:r>
        <w:br/>
      </w:r>
      <w:r>
        <w:br/>
      </w:r>
      <w:r>
        <w:rPr>
          <w:rStyle w:val="VerbatimChar"/>
        </w:rPr>
        <w:t xml:space="preserve">Return only a JSON object with exactly two string keys:</w:t>
      </w:r>
      <w:r>
        <w:br/>
      </w:r>
      <w:r>
        <w:rPr>
          <w:rStyle w:val="VerbatimChar"/>
        </w:rPr>
        <w:t xml:space="preserve">  "prompt":   a realistic input text for the task</w:t>
      </w:r>
      <w:r>
        <w:br/>
      </w:r>
      <w:r>
        <w:rPr>
          <w:rStyle w:val="VerbatimChar"/>
        </w:rPr>
        <w:t xml:space="preserve">  "response": the expected output for that input</w:t>
      </w:r>
      <w:r>
        <w:br/>
      </w:r>
      <w:r>
        <w:rPr>
          <w:rStyle w:val="VerbatimChar"/>
        </w:rPr>
        <w:t xml:space="preserve">Output only the JSON. No explanation or markdown.</w:t>
      </w:r>
    </w:p>
    <w:p>
      <w:pPr>
        <w:pStyle w:val="FirstParagraph"/>
        <w:jc w:val="both"/>
        <w:keepNext w:val="0"/>
        <w:keepLines w:val="0"/>
        <w:widowControl w:val="1"/>
      </w:pPr>
      <w:r>
        <w:t xml:space="preserve">Running this pipeline on the three one-line seeds below produces the auto-generated attribute strata and rubrics in</w:t>
      </w:r>
      <w:r>
        <w:t xml:space="preserve"> </w:t>
      </w:r>
      <w:r>
        <w:t xml:space="preserve">Table C1, and the verbatim items that follow it.</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35"/>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C1.</w:t>
      </w:r>
      <w:r>
        <w:rPr>
          <w:b w:val="0"/>
          <w:i/>
        </w:rPr>
        <w:t xml:space="preserve"> </w:t>
      </w:r>
      <w:r>
        <w:rPr>
          <w:b w:val="0"/>
          <w:i/>
        </w:rPr>
        <w:t>From a one-line description to a scored benchmark, for three domains with no public labeled data. The attribute strata and rubric criteria are auto-generated by the teacher; each domain yields 40 stratified, contamination-free items, scored by the cross-family panel.</w:t>
      </w:r>
    </w:p>
    <w:tbl>
      <w:tblPr>
        <w:tblStyle w:val="Table"/>
        <w:tblW w:type="pct" w:w="5000"/>
        <w:jc w:val="center"/>
        <w:tblLayout w:type="autofit"/>
        <w:tblLook w:firstRow="1" w:lastRow="0" w:firstColumn="0" w:lastColumn="0" w:noHBand="0" w:noVBand="0" w:val="0020"/>
        <w:tblCaption w:val="Table C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Domain and one-line seed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Auto-generated attribute strata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Auto-generated rubric</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Drug–drug interaction reasoning</w:t>
            </w:r>
            <w:r>
              <w:rPr>
                <w:rFonts w:ascii="Times New Roman" w:hAnsi="Times New Roman"/>
                <w:sz w:val="19"/>
              </w:rPr>
              <w:br/>
            </w:r>
            <w:r>
              <w:rPr>
                <w:rFonts w:ascii="Times New Roman" w:hAnsi="Times New Roman"/>
                <w:i/>
                <w:iCs/>
                <w:sz w:val="19"/>
              </w:rPr>
              <w:t xml:space="preserve">"given two or more co-administered drugs and a patient context, assess the interaction, its mechanism, severity, and clinical 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severity {contraindicated, major, moderate, minor}; mechanism {pharmacokinetic, pharmacodynamic};</w:t>
            </w:r>
            <w:r>
              <w:rPr>
                <w:rFonts w:ascii="Times New Roman" w:hAnsi="Times New Roman"/>
                <w:sz w:val="19"/>
              </w:rPr>
              <w:t xml:space="preserve"> </w:t>
            </w:r>
            <w:r>
              <w:rPr>
                <w:rFonts w:ascii="Times New Roman" w:hAnsi="Times New Roman"/>
                <w:sz w:val="19"/>
              </w:rPr>
              <w:t xml:space="preserve">patient_context {renal, hepatic, polypharmacy-elderly, pregnancy}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interaction_accuracy, severity_correct, safety, completeness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Clinical reasoning</w:t>
            </w:r>
            <w:r>
              <w:rPr>
                <w:rFonts w:ascii="Times New Roman" w:hAnsi="Times New Roman"/>
                <w:sz w:val="19"/>
              </w:rPr>
              <w:br/>
            </w:r>
            <w:r>
              <w:rPr>
                <w:rFonts w:ascii="Times New Roman" w:hAnsi="Times New Roman"/>
                <w:i/>
                <w:iCs/>
                <w:sz w:val="19"/>
              </w:rPr>
              <w:t xml:space="preserve">"a clinical reasoning question a clinician would face, requiring medical knowledge and safe, accurate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specialty {cardiology, infectious_disease, pediatrics, oncology, emergency}; difficulty {routine, intermediate, hard}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clinical_accuracy, safety, completeness, clarity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Legal analysis</w:t>
            </w:r>
            <w:r>
              <w:rPr>
                <w:rFonts w:ascii="Times New Roman" w:hAnsi="Times New Roman"/>
                <w:sz w:val="19"/>
              </w:rPr>
              <w:br/>
            </w:r>
            <w:r>
              <w:rPr>
                <w:rFonts w:ascii="Times New Roman" w:hAnsi="Times New Roman"/>
                <w:i/>
                <w:iCs/>
                <w:sz w:val="19"/>
              </w:rPr>
              <w:t xml:space="preserve">"a legal analysis question requiring identification of the relevant rule and correct application to the facts"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area_of_law {contracts, torts, criminal, constitutional, intellectual_property}; complexity {basic, intermediate, advanced}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legal_accuracy, reasoning_quality, completeness, clarity</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36"/>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6.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28"/>
    <w:sectPr w:rsidR="00FC693F" w:rsidRPr="0006063C" w:rsidSect="00034616">
      <w:headerReference w:type="default" r:id="rId37"/>
      <w:type w:val="continuous"/>
      <w:pgSz w:h="16838" w:w="11906"/>
      <w:pgMar w:bottom="1417" w:footer="720" w:gutter="0" w:header="720" w:left="1417" w:right="1417" w:top="1417"/>
      <w:lnNumType w:countBy="1" w:restart="continuous" w:distance="284"/>
      <w:cols w:num="2" w:space="340"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0"/>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4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60" w:before="0" w:line="252" w:lineRule="auto"/>
      <w:ind w:left="403" w:hanging="403"/>
      <w:jc w:val="left"/>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24" Type="http://schemas.openxmlformats.org/officeDocument/2006/relationships/image" Target="media/rId124.png"/><Relationship Id="rId118" Type="http://schemas.openxmlformats.org/officeDocument/2006/relationships/hyperlink" Target="https://arxiv.org/abs/2007.12626" TargetMode="External"/><Relationship Id="rId72" Type="http://schemas.openxmlformats.org/officeDocument/2006/relationships/hyperlink" Target="https://arxiv.org/abs/2104.14337" TargetMode="External"/><Relationship Id="rId48" Type="http://schemas.openxmlformats.org/officeDocument/2006/relationships/hyperlink" Target="https://arxiv.org/abs/2303.16634" TargetMode="External"/><Relationship Id="rId112" Type="http://schemas.openxmlformats.org/officeDocument/2006/relationships/hyperlink" Target="https://arxiv.org/abs/2306.05087" TargetMode="External"/><Relationship Id="rId46" Type="http://schemas.openxmlformats.org/officeDocument/2006/relationships/hyperlink" Target="https://arxiv.org/abs/2306.05685" TargetMode="External"/><Relationship Id="rId86" Type="http://schemas.openxmlformats.org/officeDocument/2006/relationships/hyperlink" Target="https://arxiv.org/abs/2308.07201" TargetMode="External"/><Relationship Id="rId120" Type="http://schemas.openxmlformats.org/officeDocument/2006/relationships/hyperlink" Target="https://arxiv.org/abs/2310.07641" TargetMode="External"/><Relationship Id="rId116" Type="http://schemas.openxmlformats.org/officeDocument/2006/relationships/hyperlink" Target="https://arxiv.org/abs/2310.16789" TargetMode="External"/><Relationship Id="rId114" Type="http://schemas.openxmlformats.org/officeDocument/2006/relationships/hyperlink" Target="https://arxiv.org/abs/2310.17631" TargetMode="External"/><Relationship Id="rId90" Type="http://schemas.openxmlformats.org/officeDocument/2006/relationships/hyperlink" Target="https://arxiv.org/abs/2403.07974" TargetMode="External"/><Relationship Id="rId60" Type="http://schemas.openxmlformats.org/officeDocument/2006/relationships/hyperlink" Target="https://arxiv.org/abs/2404.04475" TargetMode="External"/><Relationship Id="rId54" Type="http://schemas.openxmlformats.org/officeDocument/2006/relationships/hyperlink" Target="https://arxiv.org/abs/2404.18796" TargetMode="External"/><Relationship Id="rId68" Type="http://schemas.openxmlformats.org/officeDocument/2006/relationships/hyperlink" Target="https://arxiv.org/abs/2405.00332" TargetMode="External"/><Relationship Id="rId50" Type="http://schemas.openxmlformats.org/officeDocument/2006/relationships/hyperlink" Target="https://arxiv.org/abs/2405.01535" TargetMode="External"/><Relationship Id="rId58" Type="http://schemas.openxmlformats.org/officeDocument/2006/relationships/hyperlink" Target="https://arxiv.org/abs/2406.05761" TargetMode="External"/><Relationship Id="rId88" Type="http://schemas.openxmlformats.org/officeDocument/2006/relationships/hyperlink" Target="https://arxiv.org/abs/2406.19314" TargetMode="External"/><Relationship Id="rId62" Type="http://schemas.openxmlformats.org/officeDocument/2006/relationships/hyperlink" Target="https://arxiv.org/abs/2407.08351" TargetMode="External"/><Relationship Id="rId52" Type="http://schemas.openxmlformats.org/officeDocument/2006/relationships/hyperlink" Target="https://arxiv.org/abs/2407.10817" TargetMode="External"/><Relationship Id="rId94" Type="http://schemas.openxmlformats.org/officeDocument/2006/relationships/hyperlink" Target="https://arxiv.org/abs/2408.08808" TargetMode="External"/><Relationship Id="rId78" Type="http://schemas.openxmlformats.org/officeDocument/2006/relationships/hyperlink" Target="https://arxiv.org/abs/2410.02736" TargetMode="External"/><Relationship Id="rId56" Type="http://schemas.openxmlformats.org/officeDocument/2006/relationships/hyperlink" Target="https://arxiv.org/abs/2410.12784" TargetMode="External"/><Relationship Id="rId80" Type="http://schemas.openxmlformats.org/officeDocument/2006/relationships/hyperlink" Target="https://arxiv.org/abs/2410.21819" TargetMode="External"/><Relationship Id="rId64" Type="http://schemas.openxmlformats.org/officeDocument/2006/relationships/hyperlink" Target="https://arxiv.org/abs/2410.22584" TargetMode="External"/><Relationship Id="rId82" Type="http://schemas.openxmlformats.org/officeDocument/2006/relationships/hyperlink" Target="https://arxiv.org/abs/2411.15594" TargetMode="External"/><Relationship Id="rId84" Type="http://schemas.openxmlformats.org/officeDocument/2006/relationships/hyperlink" Target="https://arxiv.org/abs/2411.16594" TargetMode="External"/><Relationship Id="rId106" Type="http://schemas.openxmlformats.org/officeDocument/2006/relationships/hyperlink" Target="https://arxiv.org/abs/2501.12789" TargetMode="External"/><Relationship Id="rId74" Type="http://schemas.openxmlformats.org/officeDocument/2006/relationships/hyperlink" Target="https://arxiv.org/abs/2502.01534" TargetMode="External"/><Relationship Id="rId70" Type="http://schemas.openxmlformats.org/officeDocument/2006/relationships/hyperlink" Target="https://arxiv.org/abs/2502.14425" TargetMode="External"/><Relationship Id="rId104" Type="http://schemas.openxmlformats.org/officeDocument/2006/relationships/hyperlink" Target="https://arxiv.org/abs/2502.14678" TargetMode="External"/><Relationship Id="rId108" Type="http://schemas.openxmlformats.org/officeDocument/2006/relationships/hyperlink" Target="https://arxiv.org/abs/2502.17521" TargetMode="External"/><Relationship Id="rId66" Type="http://schemas.openxmlformats.org/officeDocument/2006/relationships/hyperlink" Target="https://arxiv.org/abs/2504.01833" TargetMode="External"/><Relationship Id="rId92" Type="http://schemas.openxmlformats.org/officeDocument/2006/relationships/hyperlink" Target="https://arxiv.org/abs/2504.03846" TargetMode="External"/><Relationship Id="rId96" Type="http://schemas.openxmlformats.org/officeDocument/2006/relationships/hyperlink" Target="https://arxiv.org/abs/2504.17087" TargetMode="External"/><Relationship Id="rId76" Type="http://schemas.openxmlformats.org/officeDocument/2006/relationships/hyperlink" Target="https://arxiv.org/abs/2508.06709" TargetMode="External"/><Relationship Id="rId102" Type="http://schemas.openxmlformats.org/officeDocument/2006/relationships/hyperlink" Target="https://arxiv.org/abs/2601.21817" TargetMode="External"/><Relationship Id="rId98" Type="http://schemas.openxmlformats.org/officeDocument/2006/relationships/hyperlink" Target="https://arxiv.org/abs/2602.16610" TargetMode="External"/><Relationship Id="rId100" Type="http://schemas.openxmlformats.org/officeDocument/2006/relationships/hyperlink" Target="https://arxiv.org/abs/2603.00039" TargetMode="External"/><Relationship Id="rId110" Type="http://schemas.openxmlformats.org/officeDocument/2006/relationships/hyperlink" Target="https://doi.org/10.2307/2346806" TargetMode="Externa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header" Target="header5.xml"/><Relationship Id="rId16" Type="http://schemas.openxmlformats.org/officeDocument/2006/relationships/header" Target="header6.xml"/><Relationship Id="rId17" Type="http://schemas.openxmlformats.org/officeDocument/2006/relationships/header" Target="header7.xml"/><Relationship Id="rId18" Type="http://schemas.openxmlformats.org/officeDocument/2006/relationships/header" Target="header8.xml"/><Relationship Id="rId19" Type="http://schemas.openxmlformats.org/officeDocument/2006/relationships/header" Target="head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header" Target="header13.xml"/><Relationship Id="rId25" Type="http://schemas.openxmlformats.org/officeDocument/2006/relationships/header" Target="header14.xml"/><Relationship Id="rId26" Type="http://schemas.openxmlformats.org/officeDocument/2006/relationships/header" Target="header15.xml"/><Relationship Id="rId27" Type="http://schemas.openxmlformats.org/officeDocument/2006/relationships/header" Target="header16.xml"/><Relationship Id="rId29" Type="http://schemas.openxmlformats.org/officeDocument/2006/relationships/header" Target="header17.xml"/><Relationship Id="rId30" Type="http://schemas.openxmlformats.org/officeDocument/2006/relationships/header" Target="header18.xml"/><Relationship Id="rId31" Type="http://schemas.openxmlformats.org/officeDocument/2006/relationships/header" Target="header19.xml"/><Relationship Id="rId33" Type="http://schemas.openxmlformats.org/officeDocument/2006/relationships/header" Target="header20.xml"/><Relationship Id="rId34" Type="http://schemas.openxmlformats.org/officeDocument/2006/relationships/header" Target="header21.xml"/><Relationship Id="rId35" Type="http://schemas.openxmlformats.org/officeDocument/2006/relationships/header" Target="header22.xml"/><Relationship Id="rId36" Type="http://schemas.openxmlformats.org/officeDocument/2006/relationships/header" Target="header23.xml"/><Relationship Id="rId37" Type="http://schemas.openxmlformats.org/officeDocument/2006/relationships/header" Target="header24.xml"/></Relationships>
</file>

<file path=word/_rels/footnotes.xml.rels><?xml version='1.0' encoding='UTF-8' standalone='yes'?>
<Relationships xmlns="http://schemas.openxmlformats.org/package/2006/relationships"><Relationship Id="rId118" Type="http://schemas.openxmlformats.org/officeDocument/2006/relationships/hyperlink" Target="https://arxiv.org/abs/2007.12626" TargetMode="External"/><Relationship Id="rId72" Type="http://schemas.openxmlformats.org/officeDocument/2006/relationships/hyperlink" Target="https://arxiv.org/abs/2104.14337" TargetMode="External"/><Relationship Id="rId48" Type="http://schemas.openxmlformats.org/officeDocument/2006/relationships/hyperlink" Target="https://arxiv.org/abs/2303.16634" TargetMode="External"/><Relationship Id="rId112" Type="http://schemas.openxmlformats.org/officeDocument/2006/relationships/hyperlink" Target="https://arxiv.org/abs/2306.05087" TargetMode="External"/><Relationship Id="rId46" Type="http://schemas.openxmlformats.org/officeDocument/2006/relationships/hyperlink" Target="https://arxiv.org/abs/2306.05685" TargetMode="External"/><Relationship Id="rId86" Type="http://schemas.openxmlformats.org/officeDocument/2006/relationships/hyperlink" Target="https://arxiv.org/abs/2308.07201" TargetMode="External"/><Relationship Id="rId120" Type="http://schemas.openxmlformats.org/officeDocument/2006/relationships/hyperlink" Target="https://arxiv.org/abs/2310.07641" TargetMode="External"/><Relationship Id="rId116" Type="http://schemas.openxmlformats.org/officeDocument/2006/relationships/hyperlink" Target="https://arxiv.org/abs/2310.16789" TargetMode="External"/><Relationship Id="rId114" Type="http://schemas.openxmlformats.org/officeDocument/2006/relationships/hyperlink" Target="https://arxiv.org/abs/2310.17631" TargetMode="External"/><Relationship Id="rId90" Type="http://schemas.openxmlformats.org/officeDocument/2006/relationships/hyperlink" Target="https://arxiv.org/abs/2403.07974" TargetMode="External"/><Relationship Id="rId60" Type="http://schemas.openxmlformats.org/officeDocument/2006/relationships/hyperlink" Target="https://arxiv.org/abs/2404.04475" TargetMode="External"/><Relationship Id="rId54" Type="http://schemas.openxmlformats.org/officeDocument/2006/relationships/hyperlink" Target="https://arxiv.org/abs/2404.18796" TargetMode="External"/><Relationship Id="rId68" Type="http://schemas.openxmlformats.org/officeDocument/2006/relationships/hyperlink" Target="https://arxiv.org/abs/2405.00332" TargetMode="External"/><Relationship Id="rId50" Type="http://schemas.openxmlformats.org/officeDocument/2006/relationships/hyperlink" Target="https://arxiv.org/abs/2405.01535" TargetMode="External"/><Relationship Id="rId58" Type="http://schemas.openxmlformats.org/officeDocument/2006/relationships/hyperlink" Target="https://arxiv.org/abs/2406.05761" TargetMode="External"/><Relationship Id="rId88" Type="http://schemas.openxmlformats.org/officeDocument/2006/relationships/hyperlink" Target="https://arxiv.org/abs/2406.19314" TargetMode="External"/><Relationship Id="rId62" Type="http://schemas.openxmlformats.org/officeDocument/2006/relationships/hyperlink" Target="https://arxiv.org/abs/2407.08351" TargetMode="External"/><Relationship Id="rId52" Type="http://schemas.openxmlformats.org/officeDocument/2006/relationships/hyperlink" Target="https://arxiv.org/abs/2407.10817" TargetMode="External"/><Relationship Id="rId94" Type="http://schemas.openxmlformats.org/officeDocument/2006/relationships/hyperlink" Target="https://arxiv.org/abs/2408.08808" TargetMode="External"/><Relationship Id="rId78" Type="http://schemas.openxmlformats.org/officeDocument/2006/relationships/hyperlink" Target="https://arxiv.org/abs/2410.02736" TargetMode="External"/><Relationship Id="rId56" Type="http://schemas.openxmlformats.org/officeDocument/2006/relationships/hyperlink" Target="https://arxiv.org/abs/2410.12784" TargetMode="External"/><Relationship Id="rId80" Type="http://schemas.openxmlformats.org/officeDocument/2006/relationships/hyperlink" Target="https://arxiv.org/abs/2410.21819" TargetMode="External"/><Relationship Id="rId64" Type="http://schemas.openxmlformats.org/officeDocument/2006/relationships/hyperlink" Target="https://arxiv.org/abs/2410.22584" TargetMode="External"/><Relationship Id="rId82" Type="http://schemas.openxmlformats.org/officeDocument/2006/relationships/hyperlink" Target="https://arxiv.org/abs/2411.15594" TargetMode="External"/><Relationship Id="rId84" Type="http://schemas.openxmlformats.org/officeDocument/2006/relationships/hyperlink" Target="https://arxiv.org/abs/2411.16594" TargetMode="External"/><Relationship Id="rId106" Type="http://schemas.openxmlformats.org/officeDocument/2006/relationships/hyperlink" Target="https://arxiv.org/abs/2501.12789" TargetMode="External"/><Relationship Id="rId74" Type="http://schemas.openxmlformats.org/officeDocument/2006/relationships/hyperlink" Target="https://arxiv.org/abs/2502.01534" TargetMode="External"/><Relationship Id="rId70" Type="http://schemas.openxmlformats.org/officeDocument/2006/relationships/hyperlink" Target="https://arxiv.org/abs/2502.14425" TargetMode="External"/><Relationship Id="rId104" Type="http://schemas.openxmlformats.org/officeDocument/2006/relationships/hyperlink" Target="https://arxiv.org/abs/2502.14678" TargetMode="External"/><Relationship Id="rId108" Type="http://schemas.openxmlformats.org/officeDocument/2006/relationships/hyperlink" Target="https://arxiv.org/abs/2502.17521" TargetMode="External"/><Relationship Id="rId66" Type="http://schemas.openxmlformats.org/officeDocument/2006/relationships/hyperlink" Target="https://arxiv.org/abs/2504.01833" TargetMode="External"/><Relationship Id="rId92" Type="http://schemas.openxmlformats.org/officeDocument/2006/relationships/hyperlink" Target="https://arxiv.org/abs/2504.03846" TargetMode="External"/><Relationship Id="rId96" Type="http://schemas.openxmlformats.org/officeDocument/2006/relationships/hyperlink" Target="https://arxiv.org/abs/2504.17087" TargetMode="External"/><Relationship Id="rId76" Type="http://schemas.openxmlformats.org/officeDocument/2006/relationships/hyperlink" Target="https://arxiv.org/abs/2508.06709" TargetMode="External"/><Relationship Id="rId102" Type="http://schemas.openxmlformats.org/officeDocument/2006/relationships/hyperlink" Target="https://arxiv.org/abs/2601.21817" TargetMode="External"/><Relationship Id="rId98" Type="http://schemas.openxmlformats.org/officeDocument/2006/relationships/hyperlink" Target="https://arxiv.org/abs/2602.16610" TargetMode="External"/><Relationship Id="rId100" Type="http://schemas.openxmlformats.org/officeDocument/2006/relationships/hyperlink" Target="https://arxiv.org/abs/2603.00039" TargetMode="External"/><Relationship Id="rId110"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2026-06-04T17:36:01Z</dcterms:created>
  <dcterms:modified xsi:type="dcterms:W3CDTF">2026-06-04T17:36:01Z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