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b5dd0b7b022e0e3b4332f7f482ca1588b7b75a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CoEval: Ranking Language Models for Custom Tasks Without Labeled Data or Trustworthy Benchmarks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Alexander Apartsin</w:t>
      </w: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Yehudit Aperstein</w:t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Holon Institute of Technology, Israel  ·  </w:t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  <w:r>
        <w:rPr>
          <w:rFonts w:ascii="Georgia" w:hAnsi="Georgia"/>
          <w:b w:val="0"/>
          <w:i/>
          <w:sz w:val="20"/>
        </w:rPr>
        <w:t xml:space="preserve">Afeka Tel Aviv Academic College of Engineering, Israel</w:t>
      </w:r>
    </w:p>
    <w:bookmarkEnd w:id="9"/>
    <w:bookmarkStart w:id="10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Selecting a pretrained language model, or evaluating a fine-tuned one, for a specific application is a high-value</w:t>
      </w:r>
      <w:r>
        <w:t xml:space="preserve"> </w:t>
      </w:r>
      <w:r>
        <w:t xml:space="preserve">decision, yet the public benchmarks used to make it are poorly suited: a generic benchmark need not reflect a</w:t>
      </w:r>
      <w:r>
        <w:t xml:space="preserve"> </w:t>
      </w:r>
      <w:r>
        <w:t xml:space="preserve">particular</w:t>
      </w:r>
      <w:r>
        <w:t xml:space="preserve"> </w:t>
      </w:r>
      <w:r>
        <w:rPr>
          <w:i/>
          <w:iCs/>
        </w:rPr>
        <w:t xml:space="preserve">sub-domain</w:t>
      </w:r>
      <w:r>
        <w:t xml:space="preserve">, and its scores are suspect once its items</w:t>
      </w:r>
      <w:r>
        <w:t xml:space="preserve"> </w:t>
      </w:r>
      <w:r>
        <w:rPr>
          <w:i/>
          <w:iCs/>
        </w:rPr>
        <w:t xml:space="preserve">leak into pretraining</w:t>
      </w:r>
      <w:r>
        <w:t xml:space="preserve"> </w:t>
      </w:r>
      <w:r>
        <w:t xml:space="preserve">and are</w:t>
      </w:r>
      <w:r>
        <w:t xml:space="preserve"> </w:t>
      </w:r>
      <w:r>
        <w:t xml:space="preserve">recalled rather than solved. We present</w:t>
      </w:r>
      <w:r>
        <w:t xml:space="preserve"> </w:t>
      </w:r>
      <w:r>
        <w:rPr>
          <w:b/>
          <w:bCs/>
        </w:rPr>
        <w:t xml:space="preserve">CoEval</w:t>
      </w:r>
      <w:r>
        <w:t xml:space="preserve">, an open framework that supplies a trustworthy,</w:t>
      </w:r>
      <w:r>
        <w:t xml:space="preserve"> </w:t>
      </w:r>
      <w:r>
        <w:t xml:space="preserve">task-specific signal through</w:t>
      </w:r>
      <w:r>
        <w:t xml:space="preserve"> </w:t>
      </w:r>
      <w:r>
        <w:rPr>
          <w:i/>
          <w:iCs/>
        </w:rPr>
        <w:t xml:space="preserve">ensemble self-evaluation</w:t>
      </w:r>
      <w:r>
        <w:t xml:space="preserve">. From a task or domain description, a pool of models</w:t>
      </w:r>
      <w:r>
        <w:t xml:space="preserve"> </w:t>
      </w:r>
      <w:r>
        <w:t xml:space="preserve">rotates through all three roles,</w:t>
      </w:r>
      <w:r>
        <w:t xml:space="preserve"> </w:t>
      </w:r>
      <w:r>
        <w:rPr>
          <w:i/>
          <w:iCs/>
        </w:rPr>
        <w:t xml:space="preserve">teacher</w:t>
      </w:r>
      <w:r>
        <w:t xml:space="preserve">,</w:t>
      </w:r>
      <w:r>
        <w:t xml:space="preserve"> </w:t>
      </w:r>
      <w:r>
        <w:rPr>
          <w:i/>
          <w:iCs/>
        </w:rPr>
        <w:t xml:space="preserve">student</w:t>
      </w:r>
      <w:r>
        <w:t xml:space="preserve">, and</w:t>
      </w:r>
      <w:r>
        <w:t xml:space="preserve"> </w:t>
      </w:r>
      <w:r>
        <w:rPr>
          <w:i/>
          <w:iCs/>
        </w:rPr>
        <w:t xml:space="preserve">judge</w:t>
      </w:r>
      <w:r>
        <w:t xml:space="preserve">, generating a fresh</w:t>
      </w:r>
      <w:r>
        <w:t xml:space="preserve"> </w:t>
      </w:r>
      <w:r>
        <w:t xml:space="preserve">contamination-free benchmark, answering it, and scoring one another with no human labels. Because every model also</w:t>
      </w:r>
      <w:r>
        <w:t xml:space="preserve"> </w:t>
      </w:r>
      <w:r>
        <w:t xml:space="preserve">answers as a student, the responses weight each question by its discriminative power and each judge by its consensus</w:t>
      </w:r>
      <w:r>
        <w:t xml:space="preserve"> </w:t>
      </w:r>
      <w:r>
        <w:t xml:space="preserve">with the panel. Where ground truth exists, CoEval recovers the true ranking, tracks objective correctness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0.86</m:t>
        </m:r>
      </m:oMath>
      <w:r>
        <w:t xml:space="preserve">, and reproduces the gold ranking of thirteen models at Spearman</w:t>
      </w:r>
      <w:r>
        <w:t xml:space="preserve"> </w:t>
      </w:r>
      <m:oMath>
        <m:r>
          <m:t>0.95</m:t>
        </m:r>
      </m:oMath>
      <w:r>
        <w:t xml:space="preserve">; on standard meta-evaluation</w:t>
      </w:r>
      <w:r>
        <w:t xml:space="preserve"> </w:t>
      </w:r>
      <w:r>
        <w:t xml:space="preserve">benchmarks (SummEval, LLMBar) the panel matches the best single judge without a label-oracle to select it.</w:t>
      </w:r>
      <w:r>
        <w:t xml:space="preserve"> </w:t>
      </w:r>
      <w:r>
        <w:t xml:space="preserve">Reliability comes from panel</w:t>
      </w:r>
      <w:r>
        <w:t xml:space="preserve"> </w:t>
      </w:r>
      <w:r>
        <w:rPr>
          <w:i/>
          <w:iCs/>
        </w:rPr>
        <w:t xml:space="preserve">composition</w:t>
      </w:r>
      <w:r>
        <w:t xml:space="preserve">, not size. Generated items show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verbatim overlap with</w:t>
      </w:r>
      <w:r>
        <w:t xml:space="preserve"> </w:t>
      </w:r>
      <w:r>
        <w:t xml:space="preserve">five public benchmarks, the panel cancels verbosity bias and same-family self-preference, and rankings are</w:t>
      </w:r>
      <w:r>
        <w:t xml:space="preserve"> </w:t>
      </w:r>
      <w:r>
        <w:rPr>
          <w:i/>
          <w:iCs/>
        </w:rPr>
        <w:t xml:space="preserve">domain-specific</w:t>
      </w:r>
      <w:r>
        <w:t xml:space="preserve">. The same pipeline reruns on each model release, giving any team a contamination-free</w:t>
      </w:r>
      <w:r>
        <w:t xml:space="preserve"> </w:t>
      </w:r>
      <w:r>
        <w:t xml:space="preserve">leaderboard for its application.</w:t>
      </w:r>
    </w:p>
    <w:bookmarkEnd w:id="10"/>
    <w:bookmarkStart w:id="11" w:name="introduction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practitioner selecting a pretrained language model, or evaluating a fine-tuned one, for a specific application</w:t>
      </w:r>
      <w:r>
        <w:t xml:space="preserve"> </w:t>
      </w:r>
      <w:r>
        <w:t xml:space="preserve">(summarizing clinical notes, answering over an internal knowledge base, triaging support tickets) faces a deceptively</w:t>
      </w:r>
      <w:r>
        <w:t xml:space="preserve"> </w:t>
      </w:r>
      <w:r>
        <w:t xml:space="preserve">simple question:</w:t>
      </w:r>
      <w:r>
        <w:t xml:space="preserve"> </w:t>
      </w:r>
      <w:r>
        <w:rPr>
          <w:i/>
          <w:iCs/>
        </w:rPr>
        <w:t xml:space="preserve">which model is best for my use case?</w:t>
      </w:r>
      <w:r>
        <w:t xml:space="preserve"> </w:t>
      </w:r>
      <w:r>
        <w:t xml:space="preserve">Answering it well needs an evaluation set that reflects</w:t>
      </w:r>
      <w:r>
        <w:t xml:space="preserve"> </w:t>
      </w:r>
      <w:r>
        <w:t xml:space="preserve">that use case, and the static, human-curated benchmarks that dominate LLM evaluation make this hard in three ways. They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non-extensible</w:t>
      </w:r>
      <w:r>
        <w:t xml:space="preserve"> </w:t>
      </w:r>
      <w:r>
        <w:t xml:space="preserve">(covering a new domain or difficulty band needs fresh, slow annotation, and for a</w:t>
      </w:r>
      <w:r>
        <w:t xml:space="preserve"> </w:t>
      </w:r>
      <w:r>
        <w:t xml:space="preserve">proprietary domain the data may not exist at all);</w:t>
      </w:r>
      <w:r>
        <w:t xml:space="preserve"> </w:t>
      </w:r>
      <w:r>
        <w:rPr>
          <w:i/>
          <w:iCs/>
        </w:rPr>
        <w:t xml:space="preserve">contamination-prone</w:t>
      </w:r>
      <w:r>
        <w:t xml:space="preserve"> </w:t>
      </w:r>
      <w:r>
        <w:t xml:space="preserve">(public items leak into pretraining</w:t>
      </w:r>
      <w:r>
        <w:t xml:space="preserve"> </w:t>
      </w:r>
      <w:r>
        <w:t xml:space="preserve">corpora, so a high score can reflect memorization rather than capability [</w:t>
      </w:r>
      <w:hyperlink w:anchor="r12">
        <w:r>
          <w:rPr>
            <w:rStyle w:val="Hyperlink"/>
          </w:rPr>
          <w:t xml:space="preserve">12</w:t>
        </w:r>
      </w:hyperlink>
      <w:r>
        <w:t xml:space="preserve">,</w:t>
      </w:r>
      <w:r>
        <w:t xml:space="preserve"> </w:t>
      </w:r>
      <w:hyperlink w:anchor="r13">
        <w:r>
          <w:rPr>
            <w:rStyle w:val="Hyperlink"/>
          </w:rPr>
          <w:t xml:space="preserve">13</w:t>
        </w:r>
      </w:hyperlink>
      <w:r>
        <w:t xml:space="preserve">]); and</w:t>
      </w:r>
      <w:r>
        <w:t xml:space="preserve"> </w:t>
      </w:r>
      <w:r>
        <w:rPr>
          <w:i/>
          <w:iCs/>
        </w:rPr>
        <w:t xml:space="preserve">generic</w:t>
      </w:r>
      <w:r>
        <w:t xml:space="preserve"> </w:t>
      </w:r>
      <w:r>
        <w:t xml:space="preserve">(an average-case distribution rarely matches the inputs, scoring criteria,</w:t>
      </w:r>
      <w:r>
        <w:t xml:space="preserve"> </w:t>
      </w:r>
      <w:r>
        <w:t xml:space="preserve">or edge cases of a particular system). When a practitioner has neither task-specific labeled data</w:t>
      </w:r>
      <w:r>
        <w:t xml:space="preserve"> </w:t>
      </w:r>
      <w:r>
        <w:rPr>
          <w:i/>
          <w:iCs/>
        </w:rPr>
        <w:t xml:space="preserve">nor</w:t>
      </w:r>
      <w:r>
        <w:t xml:space="preserve"> </w:t>
      </w:r>
      <w:r>
        <w:t xml:space="preserve">a</w:t>
      </w:r>
      <w:r>
        <w:t xml:space="preserve"> </w:t>
      </w:r>
      <w:r>
        <w:t xml:space="preserve">benchmark they can trust, they are stuck.</w:t>
      </w:r>
      <w:r>
        <w:t xml:space="preserve"> </w:t>
      </w:r>
      <w:r>
        <w:rPr>
          <w:b/>
          <w:bCs/>
        </w:rPr>
        <w:t xml:space="preserve">CoEval</w:t>
      </w:r>
      <w:r>
        <w:t xml:space="preserve"> </w:t>
      </w:r>
      <w:r>
        <w:t xml:space="preserve">is built for exactly this situation: it generates a</w:t>
      </w:r>
      <w:r>
        <w:t xml:space="preserve"> </w:t>
      </w:r>
      <w:r>
        <w:t xml:space="preserve">fresh, domain-targeted evaluation from a task description and ranks candidate models on it, with no labels and no</w:t>
      </w:r>
      <w:r>
        <w:t xml:space="preserve"> </w:t>
      </w:r>
      <w:r>
        <w:t xml:space="preserve">contaminated items.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LLM-as-judge evaluation [</w:t>
      </w:r>
      <w:hyperlink w:anchor="r1">
        <w:r>
          <w:rPr>
            <w:rStyle w:val="Hyperlink"/>
          </w:rPr>
          <w:t xml:space="preserve">1</w:t>
        </w:r>
      </w:hyperlink>
      <w:r>
        <w:t xml:space="preserve">,</w:t>
      </w:r>
      <w:r>
        <w:t xml:space="preserve"> </w:t>
      </w:r>
      <w:hyperlink w:anchor="r2">
        <w:r>
          <w:rPr>
            <w:rStyle w:val="Hyperlink"/>
          </w:rPr>
          <w:t xml:space="preserve">2</w:t>
        </w:r>
      </w:hyperlink>
      <w:r>
        <w:t xml:space="preserve">] addresses the cost and extensibility of scoring,</w:t>
      </w:r>
      <w:r>
        <w:t xml:space="preserve"> </w:t>
      </w:r>
      <w:r>
        <w:t xml:space="preserve">grading free-form responses against a rubric at a fraction of human cost, but a single judge is not a neutral</w:t>
      </w:r>
      <w:r>
        <w:t xml:space="preserve"> </w:t>
      </w:r>
      <w:r>
        <w:t xml:space="preserve">instrument: judges exhibit positional,</w:t>
      </w:r>
      <w:r>
        <w:t xml:space="preserve"> </w:t>
      </w:r>
      <w:r>
        <w:rPr>
          <w:i/>
          <w:iCs/>
        </w:rPr>
        <w:t xml:space="preserve">verbosity</w:t>
      </w:r>
      <w:r>
        <w:t xml:space="preserve"> </w:t>
      </w:r>
      <w:r>
        <w:t xml:space="preserve">[</w:t>
      </w:r>
      <w:hyperlink w:anchor="r8">
        <w:r>
          <w:rPr>
            <w:rStyle w:val="Hyperlink"/>
          </w:rPr>
          <w:t xml:space="preserve">8</w:t>
        </w:r>
      </w:hyperlink>
      <w:r>
        <w:t xml:space="preserve">], and</w:t>
      </w:r>
      <w:r>
        <w:t xml:space="preserve"> </w:t>
      </w:r>
      <w:r>
        <w:rPr>
          <w:i/>
          <w:iCs/>
        </w:rPr>
        <w:t xml:space="preserve">self-preference</w:t>
      </w:r>
      <w:r>
        <w:t xml:space="preserve"> </w:t>
      </w:r>
      <w:r>
        <w:t xml:space="preserve">biases,</w:t>
      </w:r>
      <w:r>
        <w:t xml:space="preserve"> </w:t>
      </w:r>
      <w:r>
        <w:t xml:space="preserve">and a measurement built on one biased instrument inherits its distortions.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argue that both problems, the rigidity of static benchmarks and the bias of single judges, are best</w:t>
      </w:r>
      <w:r>
        <w:t xml:space="preserve"> </w:t>
      </w:r>
      <w:r>
        <w:t xml:space="preserve">solved together, by a system that</w:t>
      </w:r>
      <w:r>
        <w:t xml:space="preserve"> </w:t>
      </w:r>
      <w:r>
        <w:rPr>
          <w:i/>
          <w:iCs/>
        </w:rPr>
        <w:t xml:space="preserve">generates</w:t>
      </w:r>
      <w:r>
        <w:t xml:space="preserve"> </w:t>
      </w:r>
      <w:r>
        <w:t xml:space="preserve">the evaluation set as carefully as it</w:t>
      </w:r>
      <w:r>
        <w:t xml:space="preserve"> </w:t>
      </w:r>
      <w:r>
        <w:rPr>
          <w:i/>
          <w:iCs/>
        </w:rPr>
        <w:t xml:space="preserve">scores</w:t>
      </w:r>
      <w:r>
        <w:t xml:space="preserve"> </w:t>
      </w:r>
      <w:r>
        <w:t xml:space="preserve">it. We</w:t>
      </w:r>
      <w:r>
        <w:t xml:space="preserve"> </w:t>
      </w:r>
      <w:r>
        <w:t xml:space="preserve">present</w:t>
      </w:r>
      <w:r>
        <w:t xml:space="preserve"> </w:t>
      </w:r>
      <w:r>
        <w:rPr>
          <w:b/>
          <w:bCs/>
        </w:rPr>
        <w:t xml:space="preserve">CoEval</w:t>
      </w:r>
      <w:r>
        <w:t xml:space="preserve">, a declarative and reproducible framework for</w:t>
      </w:r>
      <w:r>
        <w:t xml:space="preserve"> </w:t>
      </w:r>
      <w:r>
        <w:rPr>
          <w:i/>
          <w:iCs/>
        </w:rPr>
        <w:t xml:space="preserve">ensemble self-evaluation</w:t>
      </w:r>
      <w:r>
        <w:t xml:space="preserve">: a</w:t>
      </w:r>
      <w:r>
        <w:t xml:space="preserve"> </w:t>
      </w:r>
      <w:r>
        <w:t xml:space="preserve">pool of models rotates through all three roles,</w:t>
      </w:r>
      <w:r>
        <w:t xml:space="preserve"> </w:t>
      </w:r>
      <w:r>
        <w:rPr>
          <w:i/>
          <w:iCs/>
        </w:rPr>
        <w:t xml:space="preserve">teacher</w:t>
      </w:r>
      <w:r>
        <w:t xml:space="preserve">,</w:t>
      </w:r>
      <w:r>
        <w:t xml:space="preserve"> </w:t>
      </w:r>
      <w:r>
        <w:rPr>
          <w:i/>
          <w:iCs/>
        </w:rPr>
        <w:t xml:space="preserve">student</w:t>
      </w:r>
      <w:r>
        <w:t xml:space="preserve">, and</w:t>
      </w:r>
      <w:r>
        <w:t xml:space="preserve"> </w:t>
      </w:r>
      <w:r>
        <w:rPr>
          <w:i/>
          <w:iCs/>
        </w:rPr>
        <w:t xml:space="preserve">judge</w:t>
      </w:r>
      <w:r>
        <w:t xml:space="preserve">, to generate a</w:t>
      </w:r>
      <w:r>
        <w:t xml:space="preserve"> </w:t>
      </w:r>
      <w:r>
        <w:t xml:space="preserve">fresh, contamination-free benchmark, answer it, and score one another. Because every model also answers as a student,</w:t>
      </w:r>
      <w:r>
        <w:t xml:space="preserve"> </w:t>
      </w:r>
      <w:r>
        <w:t xml:space="preserve">the responses provide the data that weight each question by its discriminative power and each judge by its consensus</w:t>
      </w:r>
      <w:r>
        <w:t xml:space="preserve"> </w:t>
      </w:r>
      <w:r>
        <w:t xml:space="preserve">with the panel. CoEval contributes: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(1) Self-generating, contamination-resistant benchmarks.</w:t>
      </w:r>
      <w:r>
        <w:t xml:space="preserve"> </w:t>
      </w:r>
      <w:r>
        <w:t xml:space="preserve">A teacher model synthesizes an</w:t>
      </w:r>
      <w:r>
        <w:t xml:space="preserve"> </w:t>
      </w:r>
      <w:r>
        <w:t xml:space="preserve">attribute-stratified benchmark targeted at a declared domain. Because items are freshly generated per run, they</w:t>
      </w:r>
      <w:r>
        <w:t xml:space="preserve"> </w:t>
      </w:r>
      <w:r>
        <w:t xml:space="preserve">are resistant to leakage into a student's training data by construction, and the generated items are</w:t>
      </w:r>
      <w:r>
        <w:t xml:space="preserve"> </w:t>
      </w:r>
      <w:r>
        <w:rPr>
          <w:i/>
          <w:iCs/>
        </w:rPr>
        <w:t xml:space="preserve">discriminative</w:t>
      </w:r>
      <w:r>
        <w:t xml:space="preserve">, separating candidate models (most carry ranking signal), the property a benchmark needs to</w:t>
      </w:r>
      <w:r>
        <w:t xml:space="preserve"> </w:t>
      </w:r>
      <w:r>
        <w:t xml:space="preserve">rank them rather than saturate.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(2) A self-validating cross-family judge panel: composition over size.</w:t>
      </w:r>
      <w:r>
        <w:t xml:space="preserve"> </w:t>
      </w:r>
      <w:r>
        <w:t xml:space="preserve">Responses are scored by</w:t>
      </w:r>
      <w:r>
        <w:t xml:space="preserve"> </w:t>
      </w:r>
      <w:r>
        <w:t xml:space="preserve">judges drawn from distinct model vendors. Our central finding is that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(vendor diversity), not</w:t>
      </w:r>
      <w:r>
        <w:t xml:space="preserve"> </w:t>
      </w:r>
      <w:r>
        <w:t xml:space="preserve">panel</w:t>
      </w:r>
      <w:r>
        <w:t xml:space="preserve"> </w:t>
      </w:r>
      <w:r>
        <w:rPr>
          <w:i/>
          <w:iCs/>
        </w:rPr>
        <w:t xml:space="preserve">size</w:t>
      </w:r>
      <w:r>
        <w:t xml:space="preserve">, is the decisive reliability lever: adding low-agreement judges can</w:t>
      </w:r>
      <w:r>
        <w:t xml:space="preserve"> </w:t>
      </w:r>
      <w:r>
        <w:rPr>
          <w:i/>
          <w:iCs/>
        </w:rPr>
        <w:t xml:space="preserve">reduce</w:t>
      </w:r>
      <w:r>
        <w:t xml:space="preserve"> </w:t>
      </w:r>
      <w:r>
        <w:t xml:space="preserve">reliability, a</w:t>
      </w:r>
      <w:r>
        <w:t xml:space="preserve"> </w:t>
      </w:r>
      <w:r>
        <w:t xml:space="preserve">result that reframes how judge panels should be assembled. Crucially, the panel also</w:t>
      </w:r>
      <w:r>
        <w:t xml:space="preserve"> </w:t>
      </w:r>
      <w:r>
        <w:rPr>
          <w:i/>
          <w:iCs/>
        </w:rPr>
        <w:t xml:space="preserve">audits itself</w:t>
      </w:r>
      <w:r>
        <w:t xml:space="preserve">: a judge's</w:t>
      </w:r>
      <w:r>
        <w:t xml:space="preserve"> </w:t>
      </w:r>
      <w:r>
        <w:t xml:space="preserve">agreement with the rest is a label-free estimate of its reliability, so the ensemble detects and down-weights broken</w:t>
      </w:r>
      <w:r>
        <w:t xml:space="preserve"> </w:t>
      </w:r>
      <w:r>
        <w:t xml:space="preserve">judges (a random, constant, or anti-correlated judge is driven to zero weight) with no ground truth, something a</w:t>
      </w:r>
      <w:r>
        <w:t xml:space="preserve"> </w:t>
      </w:r>
      <w:r>
        <w:t xml:space="preserve">single judge cannot do.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(3) Bias-cancelling aggregation.</w:t>
      </w:r>
      <w:r>
        <w:t xml:space="preserve"> </w:t>
      </w:r>
      <w:r>
        <w:t xml:space="preserve">Consensus aggregation across a vendor-diverse panel cancels</w:t>
      </w:r>
      <w:r>
        <w:t xml:space="preserve"> </w:t>
      </w:r>
      <w:r>
        <w:t xml:space="preserve">verbosity bias that individual judges carry with mixed sign, and the vendor-disjoint design structurally precludes</w:t>
      </w:r>
      <w:r>
        <w:t xml:space="preserve"> </w:t>
      </w:r>
      <w:r>
        <w:t xml:space="preserve">same-family self-preference.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(4) A reusable, open framework for per-domain ranking.</w:t>
      </w:r>
      <w:r>
        <w:t xml:space="preserve"> </w:t>
      </w:r>
      <w:r>
        <w:t xml:space="preserve">CoEval is model-agnostic and</w:t>
      </w:r>
      <w:r>
        <w:t xml:space="preserve"> </w:t>
      </w:r>
      <w:r>
        <w:t xml:space="preserve">task-agnostic: any model reachable through a broad range of provider interfaces (cloud, open-weight, or local) can</w:t>
      </w:r>
      <w:r>
        <w:t xml:space="preserve"> </w:t>
      </w:r>
      <w:r>
        <w:t xml:space="preserve">serve as teacher, student, or judge, and a task or domain is supplied declaratively at whatever level of detail the</w:t>
      </w:r>
      <w:r>
        <w:t xml:space="preserve"> </w:t>
      </w:r>
      <w:r>
        <w:t xml:space="preserve">practitioner has, from a one-line objective that the framework expands into a complete configuration, through a</w:t>
      </w:r>
      <w:r>
        <w:t xml:space="preserve"> </w:t>
      </w:r>
      <w:r>
        <w:t xml:space="preserve">minimal task description, to a fully hand-written specification.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pipeline applies unchanged to any</w:t>
      </w:r>
      <w:r>
        <w:t xml:space="preserve"> </w:t>
      </w:r>
      <w:r>
        <w:t xml:space="preserve">domain and re-runs on every model release, giving a team a renewable, application-specific</w:t>
      </w:r>
      <w:r>
        <w:t xml:space="preserve"> </w:t>
      </w:r>
      <w:r>
        <w:t xml:space="preserve">benchmark. Per-domain ranking carries real signal: across four de-novo domains three different models take first</w:t>
      </w:r>
      <w:r>
        <w:t xml:space="preserve"> </w:t>
      </w:r>
      <w:r>
        <w:t xml:space="preserve">place (Appendix D), so CoEval directs each practitioner to the best model for their own use case where a</w:t>
      </w:r>
      <w:r>
        <w:t xml:space="preserve"> </w:t>
      </w:r>
      <w:r>
        <w:t xml:space="preserve">single generic leaderboard would not. Ranking candidate models on a custom use case requires only this</w:t>
      </w:r>
      <w:r>
        <w:t xml:space="preserve"> </w:t>
      </w:r>
      <w:r>
        <w:t xml:space="preserve">specification, and CoEval recovers the correct ground-truth ranking wherever one exists to check against</w:t>
      </w:r>
      <w:r>
        <w:t xml:space="preserve"> </w:t>
      </w:r>
      <w:r>
        <w:t xml:space="preserve">(Section 5.1, Table 1; the doubly-robust aggregator recovers the true ranking of thirteen models at</w:t>
      </w:r>
      <w:r>
        <w:t xml:space="preserve"> </w:t>
      </w:r>
      <w:r>
        <w:t xml:space="preserve">Spearman 0.95). The whole pipeline is open-source and reproducible from a single declarative</w:t>
      </w:r>
      <w:r>
        <w:t xml:space="preserve"> </w:t>
      </w:r>
      <w:r>
        <w:t xml:space="preserve">configuration file.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requires no human annotation. The remainder of this paper formalizes the framework (Section 3), describes the experimental</w:t>
      </w:r>
      <w:r>
        <w:t xml:space="preserve"> </w:t>
      </w:r>
      <w:r>
        <w:t xml:space="preserve">setup (Section 4), and reports our empirical results (Section 5): ground-truth correlation, the</w:t>
      </w:r>
      <w:r>
        <w:t xml:space="preserve"> </w:t>
      </w:r>
      <w:r>
        <w:t xml:space="preserve">composition-over-size reliability finding, verbosity-bias cancellation, the cross-family self-preference design</w:t>
      </w:r>
      <w:r>
        <w:t xml:space="preserve"> </w:t>
      </w:r>
      <w:r>
        <w:t xml:space="preserve">property, rubric generalization, contamination resistance, cost, end-to-end domain case studies on three custom verticals, and a demonstration that model rankings are domain-specific, so a generic leaderboard misdirects three of four domain practitioners.</w:t>
      </w:r>
    </w:p>
    <w:bookmarkEnd w:id="11"/>
    <w:bookmarkStart w:id="14" w:name="related-work"/>
    <w:p>
      <w:pPr>
        <w:pStyle w:val="Heading2"/>
        <w:keepNext/>
        <w:keepLines/>
        <w:widowControl w:val="1"/>
      </w:pPr>
      <w:r>
        <w:t xml:space="preserve">2. Related Work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draws on three lines of work, each motivated by one half of the practitioner's problem: evidence that public</w:t>
      </w:r>
      <w:r>
        <w:t xml:space="preserve"> </w:t>
      </w:r>
      <w:r>
        <w:t xml:space="preserve">benchmarks cannot be taken at face value (contamination and leakage), automated benchmark generation when no labeled</w:t>
      </w:r>
      <w:r>
        <w:t xml:space="preserve"> </w:t>
      </w:r>
      <w:r>
        <w:t xml:space="preserve">data exists, and LLM-as-judge scoring. CoEval unifies all three, contamination-free, label-free, domain-targeted</w:t>
      </w:r>
      <w:r>
        <w:t xml:space="preserve"> </w:t>
      </w:r>
      <w:r>
        <w:t xml:space="preserve">generation with a reliability-controlled cross-family judge ensemble, in a single framework for the no-data,</w:t>
      </w:r>
      <w:r>
        <w:t xml:space="preserve"> </w:t>
      </w:r>
      <w:r>
        <w:t xml:space="preserve">untrusted-benchmark regime; we detail each below.</w:t>
      </w:r>
    </w:p>
    <w:bookmarkStart w:id="12" w:name="llm-as-judge-and-judge-panels"/>
    <w:p>
      <w:pPr>
        <w:pStyle w:val="Heading3"/>
        <w:keepNext/>
        <w:keepLines/>
        <w:widowControl w:val="1"/>
      </w:pPr>
      <w:r>
        <w:t xml:space="preserve">2.1 LLM-as-judge and judge panels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MT-Bench and Chatbot Arena [</w:t>
      </w:r>
      <w:hyperlink w:anchor="r1">
        <w:r>
          <w:rPr>
            <w:rStyle w:val="Hyperlink"/>
          </w:rPr>
          <w:t xml:space="preserve">1</w:t>
        </w:r>
      </w:hyperlink>
      <w:r>
        <w:t xml:space="preserve">] established LLM-as-judge as a scalable proxy for human preference and</w:t>
      </w:r>
      <w:r>
        <w:t xml:space="preserve"> </w:t>
      </w:r>
      <w:r>
        <w:t xml:space="preserve">documented its biases. G-Eval [</w:t>
      </w:r>
      <w:hyperlink w:anchor="r2">
        <w:r>
          <w:rPr>
            <w:rStyle w:val="Hyperlink"/>
          </w:rPr>
          <w:t xml:space="preserve">2</w:t>
        </w:r>
      </w:hyperlink>
      <w:r>
        <w:t xml:space="preserve">] scores against a user-supplied rubric with chain-of-thought;</w:t>
      </w:r>
      <w:r>
        <w:t xml:space="preserve"> </w:t>
      </w:r>
      <w:r>
        <w:t xml:space="preserve">Prometheus 2 [</w:t>
      </w:r>
      <w:hyperlink w:anchor="r3">
        <w:r>
          <w:rPr>
            <w:rStyle w:val="Hyperlink"/>
          </w:rPr>
          <w:t xml:space="preserve">3</w:t>
        </w:r>
      </w:hyperlink>
      <w:r>
        <w:t xml:space="preserve">], PandaLM [</w:t>
      </w:r>
      <w:hyperlink w:anchor="r34">
        <w:r>
          <w:rPr>
            <w:rStyle w:val="Hyperlink"/>
          </w:rPr>
          <w:t xml:space="preserve">34</w:t>
        </w:r>
      </w:hyperlink>
      <w:r>
        <w:t xml:space="preserve">], and JudgeLM [</w:t>
      </w:r>
      <w:hyperlink w:anchor="r35">
        <w:r>
          <w:rPr>
            <w:rStyle w:val="Hyperlink"/>
          </w:rPr>
          <w:t xml:space="preserve">35</w:t>
        </w:r>
      </w:hyperlink>
      <w:r>
        <w:t xml:space="preserve">] train</w:t>
      </w:r>
      <w:r>
        <w:t xml:space="preserve"> </w:t>
      </w:r>
      <w:r>
        <w:t xml:space="preserve">dedicated open evaluators. These are</w:t>
      </w:r>
      <w:r>
        <w:t xml:space="preserve"> </w:t>
      </w:r>
      <w:r>
        <w:rPr>
          <w:i/>
          <w:iCs/>
        </w:rPr>
        <w:t xml:space="preserve">single-judge</w:t>
      </w:r>
      <w:r>
        <w:t xml:space="preserve">: they need a user-supplied rubric and inherit one model's</w:t>
      </w:r>
      <w:r>
        <w:t xml:space="preserve"> </w:t>
      </w:r>
      <w:r>
        <w:t xml:space="preserve">biases. CoEval instead generates the rubric from the task definition and aggregates across a diverse panel. FLAMe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] and JudgeBench [</w:t>
      </w:r>
      <w:hyperlink w:anchor="r6">
        <w:r>
          <w:rPr>
            <w:rStyle w:val="Hyperlink"/>
          </w:rPr>
          <w:t xml:space="preserve">6</w:t>
        </w:r>
      </w:hyperlink>
      <w:r>
        <w:t xml:space="preserve">] study judge reliability and BiGGen-Bench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introduces instance-specific criteria; CoEval is complementary, adding cross-family aggregation</w:t>
      </w:r>
      <w:r>
        <w:t xml:space="preserve"> </w:t>
      </w:r>
      <w:r>
        <w:t xml:space="preserve">and live agreement monitoring on top of any such judges.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Closest to our judging design,</w:t>
      </w:r>
      <w:r>
        <w:t xml:space="preserve"> </w:t>
      </w:r>
      <w:r>
        <w:rPr>
          <w:i/>
          <w:iCs/>
        </w:rPr>
        <w:t xml:space="preserve">Replacing Judges with Juries</w:t>
      </w:r>
      <w:r>
        <w:t xml:space="preserve"> </w:t>
      </w:r>
      <w:r>
        <w:t xml:space="preserve">(PoLL) [</w:t>
      </w:r>
      <w:hyperlink w:anchor="r5">
        <w:r>
          <w:rPr>
            <w:rStyle w:val="Hyperlink"/>
          </w:rPr>
          <w:t xml:space="preserve">5</w:t>
        </w:r>
      </w:hyperlink>
      <w:r>
        <w:t xml:space="preserve">] shows a panel of</w:t>
      </w:r>
      <w:r>
        <w:t xml:space="preserve"> </w:t>
      </w:r>
      <w:r>
        <w:t xml:space="preserve">smaller judges can rival a single large judge while reducing bias and cost. CoEval extends this in three ways: it</w:t>
      </w:r>
      <w:r>
        <w:t xml:space="preserve"> </w:t>
      </w:r>
      <w:r>
        <w:t xml:space="preserve">couples the panel to attribute-controlled, contamination-free</w:t>
      </w:r>
      <w: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rather than scoring a fixed set; it</w:t>
      </w:r>
      <w:r>
        <w:t xml:space="preserve"> </w:t>
      </w:r>
      <w:r>
        <w:t xml:space="preserve">enforces</w:t>
      </w:r>
      <w:r>
        <w:t xml:space="preserve"> </w:t>
      </w:r>
      <w:r>
        <w:rPr>
          <w:i/>
          <w:iCs/>
        </w:rPr>
        <w:t xml:space="preserve">cross-family</w:t>
      </w:r>
      <w:r>
        <w:t xml:space="preserve"> </w:t>
      </w:r>
      <w:r>
        <w:t xml:space="preserve">composition and reports that composition dominates size; and it adds teacher/student/judge</w:t>
      </w:r>
      <w:r>
        <w:t xml:space="preserve"> </w:t>
      </w:r>
      <w:r>
        <w:t xml:space="preserve">role separation with self-preference monitoring. ChatEval [</w:t>
      </w:r>
      <w:hyperlink w:anchor="r21">
        <w:r>
          <w:rPr>
            <w:rStyle w:val="Hyperlink"/>
          </w:rPr>
          <w:t xml:space="preserve">21</w:t>
        </w:r>
      </w:hyperlink>
      <w:r>
        <w:t xml:space="preserve">] and meta-judge frameworks</w:t>
      </w:r>
      <w:r>
        <w:t xml:space="preserve"> </w:t>
      </w:r>
      <w:r>
        <w:t xml:space="preserve">[</w:t>
      </w:r>
      <w:hyperlink w:anchor="r26">
        <w:r>
          <w:rPr>
            <w:rStyle w:val="Hyperlink"/>
          </w:rPr>
          <w:t xml:space="preserve">26</w:t>
        </w:r>
      </w:hyperlink>
      <w:r>
        <w:t xml:space="preserve">] improve reliability through intra-pool deliberation; CoEval instead rotates models</w:t>
      </w:r>
      <w:r>
        <w:t xml:space="preserve"> </w:t>
      </w:r>
      <w:r>
        <w:rPr>
          <w:i/>
          <w:iCs/>
        </w:rPr>
        <w:t xml:space="preserve">across vendors</w:t>
      </w:r>
      <w:r>
        <w:t xml:space="preserve"> </w:t>
      </w:r>
      <w:r>
        <w:t xml:space="preserve">for cross-family bias cancellation.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cross-family design is motivated by evidence that judge–generator relatedness is a contamination vector:</w:t>
      </w:r>
      <w:r>
        <w:t xml:space="preserve"> </w:t>
      </w:r>
      <w:r>
        <w:rPr>
          <w:i/>
          <w:iCs/>
        </w:rPr>
        <w:t xml:space="preserve">Preference Leakage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 shows a judge sharing a model or vendor family with the generator</w:t>
      </w:r>
      <w:r>
        <w:t xml:space="preserve"> </w:t>
      </w:r>
      <w:r>
        <w:t xml:space="preserve">inflates scores, and</w:t>
      </w:r>
      <w:r>
        <w:t xml:space="preserve"> </w:t>
      </w:r>
      <w:r>
        <w:rPr>
          <w:i/>
          <w:iCs/>
        </w:rPr>
        <w:t xml:space="preserve">Play Favorites</w:t>
      </w:r>
      <w:r>
        <w:t xml:space="preserve"> </w:t>
      </w:r>
      <w:r>
        <w:t xml:space="preserve">[</w:t>
      </w:r>
      <w:hyperlink w:anchor="r16">
        <w:r>
          <w:rPr>
            <w:rStyle w:val="Hyperlink"/>
          </w:rPr>
          <w:t xml:space="preserve">16</w:t>
        </w:r>
      </w:hyperlink>
      <w:r>
        <w:t xml:space="preserve">] measures this same-family bias statistically.</w:t>
      </w:r>
      <w:r>
        <w:t xml:space="preserve"> </w:t>
      </w:r>
      <w:r>
        <w:t xml:space="preserve">Self-preference has been characterized mechanistically [</w:t>
      </w:r>
      <w:hyperlink w:anchor="r18">
        <w:r>
          <w:rPr>
            <w:rStyle w:val="Hyperlink"/>
          </w:rPr>
          <w:t xml:space="preserve">18</w:t>
        </w:r>
      </w:hyperlink>
      <w:r>
        <w:t xml:space="preserve">] and partly attributed to capability</w:t>
      </w:r>
      <w:r>
        <w:t xml:space="preserve"> </w:t>
      </w:r>
      <w:r>
        <w:t xml:space="preserve">rather than bias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broad taxonomies and surveys [</w:t>
      </w:r>
      <w:hyperlink w:anchor="r17">
        <w:r>
          <w:rPr>
            <w:rStyle w:val="Hyperlink"/>
          </w:rPr>
          <w:t xml:space="preserve">17</w:t>
        </w:r>
      </w:hyperlink>
      <w:r>
        <w:t xml:space="preserve">,</w:t>
      </w:r>
      <w:r>
        <w:t xml:space="preserve"> </w:t>
      </w:r>
      <w:hyperlink w:anchor="r19">
        <w:r>
          <w:rPr>
            <w:rStyle w:val="Hyperlink"/>
          </w:rPr>
          <w:t xml:space="preserve">19</w:t>
        </w:r>
      </w:hyperlink>
      <w:r>
        <w:t xml:space="preserve">,</w:t>
      </w:r>
      <w:r>
        <w:t xml:space="preserve"> </w:t>
      </w:r>
      <w:hyperlink w:anchor="r20">
        <w:r>
          <w:rPr>
            <w:rStyle w:val="Hyperlink"/>
          </w:rPr>
          <w:t xml:space="preserve">20</w:t>
        </w:r>
      </w:hyperlink>
      <w:r>
        <w:t xml:space="preserve">] catalogue position, verbosity, and self-enhancement biases. Where these works</w:t>
      </w:r>
      <w:r>
        <w:t xml:space="preserve"> </w:t>
      </w:r>
      <w:r>
        <w:rPr>
          <w:i/>
          <w:iCs/>
        </w:rPr>
        <w:t xml:space="preserve">measure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post-hoc correct</w:t>
      </w:r>
      <w:r>
        <w:t xml:space="preserve"> </w:t>
      </w:r>
      <w:r>
        <w:t xml:space="preserve">individual-judge biases, CoEval makes cross-family composition a</w:t>
      </w:r>
      <w:r>
        <w:t xml:space="preserve"> </w:t>
      </w:r>
      <w:r>
        <w:rPr>
          <w:i/>
          <w:iCs/>
        </w:rPr>
        <w:t xml:space="preserve">design constraint</w:t>
      </w:r>
      <w:r>
        <w:t xml:space="preserve"> </w:t>
      </w:r>
      <w:r>
        <w:t xml:space="preserve">that cancels same-family preference at aggregation, paired with contamination-free generation, so both items and judges</w:t>
      </w:r>
      <w:r>
        <w:t xml:space="preserve"> </w:t>
      </w:r>
      <w:r>
        <w:t xml:space="preserve">are bias-hardened.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Inferring rater reliability from inter-rater agreement without ground truth dates to</w:t>
      </w:r>
      <w:r>
        <w:t xml:space="preserve"> </w:t>
      </w:r>
      <w:r>
        <w:rPr>
          <w:i/>
          <w:iCs/>
        </w:rPr>
        <w:t xml:space="preserve">Dawid and Skene</w:t>
      </w:r>
      <w:r>
        <w:t xml:space="preserve"> </w:t>
      </w:r>
      <w:r>
        <w:t xml:space="preserve">[</w:t>
      </w:r>
      <w:hyperlink w:anchor="r33">
        <w:r>
          <w:rPr>
            <w:rStyle w:val="Hyperlink"/>
          </w:rPr>
          <w:t xml:space="preserve">33</w:t>
        </w:r>
      </w:hyperlink>
      <w:r>
        <w:t xml:space="preserve">], which CoEval applies to a vendor-disjoint LLM panel (Section 5.2). Recent label-free</w:t>
      </w:r>
      <w:r>
        <w:t xml:space="preserve"> </w:t>
      </w:r>
      <w:r>
        <w:t xml:space="preserve">methods learn per-judge reliability jointly with the ranking from pairwise comparisons (judge-aware Bradley–Terry</w:t>
      </w:r>
      <w:r>
        <w:t xml:space="preserve"> </w:t>
      </w:r>
      <w:r>
        <w:t xml:space="preserve">[</w:t>
      </w:r>
      <w:hyperlink w:anchor="r27">
        <w:r>
          <w:rPr>
            <w:rStyle w:val="Hyperlink"/>
          </w:rPr>
          <w:t xml:space="preserve">27</w:t>
        </w:r>
      </w:hyperlink>
      <w:r>
        <w:t xml:space="preserve">], judge-aware ranking [</w:t>
      </w:r>
      <w:hyperlink w:anchor="r29">
        <w:r>
          <w:rPr>
            <w:rStyle w:val="Hyperlink"/>
          </w:rPr>
          <w:t xml:space="preserve">29</w:t>
        </w:r>
      </w:hyperlink>
      <w:r>
        <w:t xml:space="preserve">]) or separate quality from shared confounders</w:t>
      </w:r>
      <w:r>
        <w:t xml:space="preserve"> </w:t>
      </w:r>
      <w:r>
        <w:t xml:space="preserve">[</w:t>
      </w:r>
      <w:hyperlink w:anchor="r28">
        <w:r>
          <w:rPr>
            <w:rStyle w:val="Hyperlink"/>
          </w:rPr>
          <w:t xml:space="preserve">28</w:t>
        </w:r>
      </w:hyperlink>
      <w:r>
        <w:t xml:space="preserve">]; CoEval's contribution is their</w:t>
      </w:r>
      <w:r>
        <w:t xml:space="preserve"> </w:t>
      </w:r>
      <w:r>
        <w:rPr>
          <w:i/>
          <w:iCs/>
        </w:rPr>
        <w:t xml:space="preserve">integration</w:t>
      </w:r>
      <w:r>
        <w:t xml:space="preserve">, supplying the items themselves (de novo,</w:t>
      </w:r>
      <w:r>
        <w:t xml:space="preserve"> </w:t>
      </w:r>
      <w:r>
        <w:t xml:space="preserve">contamination-free) and scoring them as absolute rubric scores from a</w:t>
      </w:r>
      <w:r>
        <w:t xml:space="preserve"> </w:t>
      </w:r>
      <w:r>
        <w:rPr>
          <w:i/>
          <w:iCs/>
        </w:rPr>
        <w:t xml:space="preserve">vendor-disjoint</w:t>
      </w:r>
      <w:r>
        <w:t xml:space="preserve"> </w:t>
      </w:r>
      <w:r>
        <w:t xml:space="preserve">panel rather than</w:t>
      </w:r>
      <w:r>
        <w:t xml:space="preserve"> </w:t>
      </w:r>
      <w:r>
        <w:t xml:space="preserve">pairwise comparisons from a single-vendor pool, which surfaces the</w:t>
      </w:r>
      <w:r>
        <w:t xml:space="preserve"> </w:t>
      </w:r>
      <w:r>
        <w:rPr>
          <w:i/>
          <w:iCs/>
        </w:rPr>
        <w:t xml:space="preserve">judge-choice regret</w:t>
      </w:r>
      <w:r>
        <w:t xml:space="preserve"> </w:t>
      </w:r>
      <w:r>
        <w:t xml:space="preserve">of Section 5.2: a</w:t>
      </w:r>
      <w:r>
        <w:t xml:space="preserve"> </w:t>
      </w:r>
      <w:r>
        <w:t xml:space="preserve">single judge can be anti-correlated with ground truth where the ensemble is the low-regret choice.</w:t>
      </w:r>
    </w:p>
    <w:bookmarkEnd w:id="12"/>
    <w:bookmarkStart w:id="13" w:name="Xb32479c805d15c252b37c445ef1c1ed998e3523"/>
    <w:p>
      <w:pPr>
        <w:pStyle w:val="Heading3"/>
        <w:keepNext/>
        <w:keepLines/>
        <w:widowControl w:val="1"/>
      </w:pPr>
      <w:r>
        <w:t xml:space="preserve">2.2 Automated and contamination-resistant benchmark generation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Automated generators such as AutoBencher [</w:t>
      </w:r>
      <w:hyperlink w:anchor="r9">
        <w:r>
          <w:rPr>
            <w:rStyle w:val="Hyperlink"/>
          </w:rPr>
          <w:t xml:space="preserve">9</w:t>
        </w:r>
      </w:hyperlink>
      <w:r>
        <w:t xml:space="preserve">], BenchAgents [</w:t>
      </w:r>
      <w:hyperlink w:anchor="r10">
        <w:r>
          <w:rPr>
            <w:rStyle w:val="Hyperlink"/>
          </w:rPr>
          <w:t xml:space="preserve">10</w:t>
        </w:r>
      </w:hyperlink>
      <w:r>
        <w:t xml:space="preserve">], and YourBench</w:t>
      </w:r>
      <w:r>
        <w:t xml:space="preserve"> </w:t>
      </w:r>
      <w:r>
        <w:t xml:space="preserve">[</w:t>
      </w:r>
      <w:hyperlink w:anchor="r11">
        <w:r>
          <w:rPr>
            <w:rStyle w:val="Hyperlink"/>
          </w:rPr>
          <w:t xml:space="preserve">11</w:t>
        </w:r>
      </w:hyperlink>
      <w:r>
        <w:t xml:space="preserve">] construct evaluation items without labels, but score with a single judge and no role</w:t>
      </w:r>
      <w:r>
        <w:t xml:space="preserve"> </w:t>
      </w:r>
      <w:r>
        <w:t xml:space="preserve">separation. CoEval adds a cross-family multi-judge layer, explicit teacher/student/judge roles,</w:t>
      </w:r>
      <w:r>
        <w:t xml:space="preserve"> </w:t>
      </w:r>
      <w:r>
        <w:t xml:space="preserve">attribute-</w:t>
      </w:r>
      <w:r>
        <w:rPr>
          <w:i/>
          <w:iCs/>
        </w:rPr>
        <w:t xml:space="preserve">stratified</w:t>
      </w:r>
      <w:r>
        <w:t xml:space="preserve"> </w:t>
      </w:r>
      <w:r>
        <w:t xml:space="preserve">coverage (a per-stratum item floor over declared attribute combinations), and continuous</w:t>
      </w:r>
      <w:r>
        <w:t xml:space="preserve"> </w:t>
      </w:r>
      <w:r>
        <w:t xml:space="preserve">inter-judge agreement monitoring. The contamination motivation is sharpened by GSM1k [</w:t>
      </w:r>
      <w:hyperlink w:anchor="r12">
        <w:r>
          <w:rPr>
            <w:rStyle w:val="Hyperlink"/>
          </w:rPr>
          <w:t xml:space="preserve">12</w:t>
        </w:r>
      </w:hyperlink>
      <w:r>
        <w:t xml:space="preserve">] and recent</w:t>
      </w:r>
      <w:r>
        <w:t xml:space="preserve"> </w:t>
      </w:r>
      <w:r>
        <w:t xml:space="preserve">contamination surveys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Live benchmarks (LiveBench [</w:t>
      </w:r>
      <w:hyperlink w:anchor="r22">
        <w:r>
          <w:rPr>
            <w:rStyle w:val="Hyperlink"/>
          </w:rPr>
          <w:t xml:space="preserve">22</w:t>
        </w:r>
      </w:hyperlink>
      <w:r>
        <w:t xml:space="preserve">], LiveCodeBench</w:t>
      </w:r>
      <w:r>
        <w:t xml:space="preserve"> </w:t>
      </w:r>
      <w:r>
        <w:t xml:space="preserve">[</w:t>
      </w:r>
      <w:hyperlink w:anchor="r23">
        <w:r>
          <w:rPr>
            <w:rStyle w:val="Hyperlink"/>
          </w:rPr>
          <w:t xml:space="preserve">23</w:t>
        </w:r>
      </w:hyperlink>
      <w:r>
        <w:t xml:space="preserve">]) limit leakage by continuously releasing fresh, time-windowed items, but rely on</w:t>
      </w:r>
      <w:r>
        <w:t xml:space="preserve"> </w:t>
      </w:r>
      <w:r>
        <w:t xml:space="preserve">human-curated questions with objective answers and avoid LLM judges; CoEval extends contamination resistance to</w:t>
      </w:r>
      <w:r>
        <w:t xml:space="preserve"> </w:t>
      </w:r>
      <w:r>
        <w:rPr>
          <w:i/>
          <w:iCs/>
        </w:rPr>
        <w:t xml:space="preserve">open-ended, judge-scored</w:t>
      </w:r>
      <w:r>
        <w:t xml:space="preserve"> </w:t>
      </w:r>
      <w:r>
        <w:t xml:space="preserve">tasks through fresh attribute-controlled generation. Closest to our synthesis step,</w:t>
      </w:r>
      <w:r>
        <w:t xml:space="preserve"> </w:t>
      </w:r>
      <w:r>
        <w:t xml:space="preserve">CHASE [</w:t>
      </w:r>
      <w:hyperlink w:anchor="r30">
        <w:r>
          <w:rPr>
            <w:rStyle w:val="Hyperlink"/>
          </w:rPr>
          <w:t xml:space="preserve">30</w:t>
        </w:r>
      </w:hyperlink>
      <w:r>
        <w:t xml:space="preserve">] composes problems bottom-up from verifiable sub-tasks and DataMorgana</w:t>
      </w:r>
      <w:r>
        <w:t xml:space="preserve"> </w:t>
      </w:r>
      <w:r>
        <w:t xml:space="preserve">[</w:t>
      </w:r>
      <w:hyperlink w:anchor="r31">
        <w:r>
          <w:rPr>
            <w:rStyle w:val="Hyperlink"/>
          </w:rPr>
          <w:t xml:space="preserve">31</w:t>
        </w:r>
      </w:hyperlink>
      <w:r>
        <w:t xml:space="preserve">] produces configuration-driven question–answer sets with controllable category</w:t>
      </w:r>
      <w:r>
        <w:t xml:space="preserve"> </w:t>
      </w:r>
      <w:r>
        <w:t xml:space="preserve">distributions; both stop at item generation, whereas CoEval closes the loop to a model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with a</w:t>
      </w:r>
      <w:r>
        <w:t xml:space="preserve"> </w:t>
      </w:r>
      <w:r>
        <w:t xml:space="preserve">vendor-disjoint panel and label-free aggregation. A recent static-to-dynamic survey [</w:t>
      </w:r>
      <w:hyperlink w:anchor="r32">
        <w:r>
          <w:rPr>
            <w:rStyle w:val="Hyperlink"/>
          </w:rPr>
          <w:t xml:space="preserve">32</w:t>
        </w:r>
      </w:hyperlink>
      <w:r>
        <w:t xml:space="preserve">] situates</w:t>
      </w:r>
      <w:r>
        <w:t xml:space="preserve"> </w:t>
      </w:r>
      <w:r>
        <w:t xml:space="preserve">this shift; Dynabench [</w:t>
      </w:r>
      <w:hyperlink w:anchor="r14">
        <w:r>
          <w:rPr>
            <w:rStyle w:val="Hyperlink"/>
          </w:rPr>
          <w:t xml:space="preserve">14</w:t>
        </w:r>
      </w:hyperlink>
      <w:r>
        <w:t xml:space="preserve">] renews benchmarks with humans in the loop where CoEval renews without</w:t>
      </w:r>
      <w:r>
        <w:t xml:space="preserve"> </w:t>
      </w:r>
      <w:r>
        <w:t xml:space="preserve">them; domain-specific judge sets [</w:t>
      </w:r>
      <w:hyperlink w:anchor="r25">
        <w:r>
          <w:rPr>
            <w:rStyle w:val="Hyperlink"/>
          </w:rPr>
          <w:t xml:space="preserve">25</w:t>
        </w:r>
      </w:hyperlink>
      <w:r>
        <w:t xml:space="preserve">] target verticals such as medicine and law, which CoEval</w:t>
      </w:r>
      <w:r>
        <w:t xml:space="preserve"> </w:t>
      </w:r>
      <w:r>
        <w:t xml:space="preserve">generates within the same pipeline; and Length-Controlled AlpacaEval [</w:t>
      </w:r>
      <w:hyperlink w:anchor="r8">
        <w:r>
          <w:rPr>
            <w:rStyle w:val="Hyperlink"/>
          </w:rPr>
          <w:t xml:space="preserve">8</w:t>
        </w:r>
      </w:hyperlink>
      <w:r>
        <w:t xml:space="preserve">] debiases verbosity post hoc</w:t>
      </w:r>
      <w:r>
        <w:t xml:space="preserve"> </w:t>
      </w:r>
      <w:r>
        <w:t xml:space="preserve">on a single judge, where CoEval cancels it through panel diversity (Appendix E).</w:t>
      </w:r>
    </w:p>
    <w:bookmarkEnd w:id="13"/>
    <w:bookmarkEnd w:id="14"/>
    <w:bookmarkStart w:id="19" w:name="the-coeval-framework"/>
    <w:p>
      <w:pPr>
        <w:pStyle w:val="Heading2"/>
        <w:keepNext/>
        <w:keepLines/>
        <w:widowControl w:val="1"/>
      </w:pPr>
      <w:r>
        <w:t xml:space="preserve">3. The CoEval Framework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executes a declarative, five-phase pipeline specified in a single declarative configuration. The conceptual core is a</w:t>
      </w:r>
      <w:r>
        <w:t xml:space="preserve"> </w:t>
      </w:r>
      <w:r>
        <w:t xml:space="preserve">separation of three roles, an attribute-stratified generation procedure, and a cross-family aggregation-and-reliability</w:t>
      </w:r>
      <w:r>
        <w:t xml:space="preserve"> </w:t>
      </w:r>
      <w:r>
        <w:t xml:space="preserve">layer; Appendix F shows the pipeline.</w:t>
      </w:r>
    </w:p>
    <w:bookmarkStart w:id="15" w:name="teacher-student-and-judge-roles"/>
    <w:p>
      <w:pPr>
        <w:pStyle w:val="Heading3"/>
        <w:keepNext/>
        <w:keepLines/>
        <w:widowControl w:val="1"/>
      </w:pPr>
      <w:r>
        <w:t xml:space="preserve">3.1 Teacher, student, and judge roles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factorizes evaluation into three disjoint model roles. The</w:t>
      </w:r>
      <w:r>
        <w:t xml:space="preserve"> </w:t>
      </w:r>
      <w:r>
        <w:rPr>
          <w:b/>
          <w:bCs/>
        </w:rPr>
        <w:t xml:space="preserve">teacher</w:t>
      </w:r>
      <w:r>
        <w:t xml:space="preserve"> </w:t>
      </w:r>
      <w:r>
        <w:t xml:space="preserve">synthesizes domain-targeted</w:t>
      </w:r>
      <w:r>
        <w:t xml:space="preserve"> </w:t>
      </w:r>
      <w:r>
        <w:t xml:space="preserve">benchmark items (prompts and reference responses) conditioned on declared target attributes. The</w:t>
      </w:r>
      <w:r>
        <w:t xml:space="preserve"> </w:t>
      </w:r>
      <w:r>
        <w:rPr>
          <w:b/>
          <w:bCs/>
        </w:rPr>
        <w:t xml:space="preserve">student</w:t>
      </w:r>
      <w:r>
        <w:t xml:space="preserve"> </w:t>
      </w:r>
      <w:r>
        <w:t xml:space="preserve">models are the systems under evaluation; they produce responses to the generated prompts. The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score student responses against an automatically generated rubric. Role separation is the foundation for bias control:</w:t>
      </w:r>
      <w:r>
        <w:t xml:space="preserve"> </w:t>
      </w:r>
      <w:r>
        <w:t xml:space="preserve">because the judge set is explicitly disjoint in</w:t>
      </w:r>
      <w:r>
        <w:t xml:space="preserve"> </w:t>
      </w:r>
      <w:r>
        <w:rPr>
          <w:i/>
          <w:iCs/>
        </w:rPr>
        <w:t xml:space="preserve">vendor family</w:t>
      </w:r>
      <w:r>
        <w:t xml:space="preserve"> </w:t>
      </w:r>
      <w:r>
        <w:t xml:space="preserve">from the student under test, CoEval structurally</w:t>
      </w:r>
      <w:r>
        <w:t xml:space="preserve"> </w:t>
      </w:r>
      <w:r>
        <w:t xml:space="preserve">precludes a model from scoring its own family, closing the self-preference channel by design (Appendix E). A</w:t>
      </w:r>
      <w:r>
        <w:t xml:space="preserve"> </w:t>
      </w:r>
      <w:r>
        <w:t xml:space="preserve">virtual</w:t>
      </w:r>
      <w:r>
        <w:t xml:space="preserve"> </w:t>
      </w:r>
      <w:r>
        <w:rPr>
          <w:rStyle w:val="VerbatimChar"/>
        </w:rPr>
        <w:t xml:space="preserve">benchmark</w:t>
      </w:r>
      <w:r>
        <w:t xml:space="preserve"> </w:t>
      </w:r>
      <w:r>
        <w:t xml:space="preserve">teacher can also</w:t>
      </w:r>
      <w:r>
        <w:t xml:space="preserve"> </w:t>
      </w:r>
      <w:r>
        <w:t xml:space="preserve">inject items from an existing dataset, allowing CoEval scores to be grounded against native metrics (Section 5.1).</w:t>
      </w:r>
    </w:p>
    <w:bookmarkEnd w:id="15"/>
    <w:bookmarkStart w:id="16" w:name="attribute-stratified-generation"/>
    <w:p>
      <w:pPr>
        <w:pStyle w:val="Heading3"/>
        <w:keepNext/>
        <w:keepLines/>
        <w:widowControl w:val="1"/>
      </w:pPr>
      <w:r>
        <w:t xml:space="preserve">3.2 Attribute-stratified generation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Rather than sampling items uniformly, CoEval defines a set of</w:t>
      </w:r>
      <w:r>
        <w:t xml:space="preserve"> </w:t>
      </w:r>
      <w:r>
        <w:rPr>
          <w:i/>
          <w:iCs/>
        </w:rPr>
        <w:t xml:space="preserve">target attributes</w:t>
      </w:r>
      <w:r>
        <w:t xml:space="preserve"> </w:t>
      </w:r>
      <w:r>
        <w:t xml:space="preserve">(e.g., difficulty band, topic,</w:t>
      </w:r>
      <w:r>
        <w:t xml:space="preserve"> </w:t>
      </w:r>
      <w:r>
        <w:t xml:space="preserve">input length, reasoning type) and stratifies generation across their cross product. 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r>
        <w:t xml:space="preserve">strata induced by the chosen attributes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benchmark budget. CoEval's sampler guarantees that every stratum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receives at least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|</m:t>
                  </m:r>
                </m:den>
              </m:f>
            </m:e>
          </m:d>
          <m:r>
            <m:t> </m:t>
          </m:r>
          <m:r>
            <m:rPr>
              <m:nor/>
              <m:sty m:val="p"/>
            </m:rPr>
            <m:t>items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with remaining items distributed to balance the marginal attribute distributions. This stratification ensures that</w:t>
      </w:r>
      <w:r>
        <w:t xml:space="preserve"> </w:t>
      </w:r>
      <w:r>
        <w:t xml:space="preserve">edge-case and minority regions of the deployment distribution are explicitly covered rather than swamped by the bulk of</w:t>
      </w:r>
      <w:r>
        <w:t xml:space="preserve"> </w:t>
      </w:r>
      <w:r>
        <w:t xml:space="preserve">the distribution. The floor above is a guarantee on the</w:t>
      </w:r>
      <w:r>
        <w:t xml:space="preserve"> </w:t>
      </w:r>
      <w:r>
        <w:rPr>
          <w:i/>
          <w:iCs/>
        </w:rPr>
        <w:t xml:space="preserve">sampler</w:t>
      </w:r>
      <w:r>
        <w:t xml:space="preserve">; CoEval emits a coverage report recording the realized per-stratum counts, so that coverage of edge-case strata is auditable. Because items are generated fresh on</w:t>
      </w:r>
      <w:r>
        <w:t xml:space="preserve"> </w:t>
      </w:r>
      <w:r>
        <w:t xml:space="preserve">each run from the attribute specification, the resulting benchmark cannot have been seen during any student's</w:t>
      </w:r>
      <w:r>
        <w:t xml:space="preserve"> </w:t>
      </w:r>
      <w:r>
        <w:t xml:space="preserve">pretraining. Contamination-resistance is a structural property of generation, not a post-hoc filter.</w:t>
      </w:r>
    </w:p>
    <w:bookmarkEnd w:id="16"/>
    <w:bookmarkStart w:id="17" w:name="X0942ce5d8c067f73a4447ce531e20e150caab8b"/>
    <w:p>
      <w:pPr>
        <w:pStyle w:val="Heading3"/>
        <w:keepNext/>
        <w:keepLines/>
        <w:widowControl w:val="1"/>
      </w:pPr>
      <w:r>
        <w:t xml:space="preserve">3.3 The cross-family judge ensemble and aggregation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judge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assigns a raw quality score to student response</w:t>
      </w:r>
      <w:r>
        <w:t xml:space="preserve"> </w:t>
      </w:r>
      <m:oMath>
        <m:r>
          <m:t>i</m:t>
        </m:r>
      </m:oMath>
      <w:r>
        <w:t xml:space="preserve">, which CoEval normalizes onto a common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scale via an affine mapping from the judge's rubric range, yielding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 The</w:t>
      </w:r>
      <w:r>
        <w:t xml:space="preserve"> </w:t>
      </w:r>
      <w:r>
        <w:rPr>
          <w:b/>
          <w:bCs/>
        </w:rPr>
        <w:t xml:space="preserve">ensemble score</w:t>
      </w:r>
      <w:r>
        <w:t xml:space="preserve"> </w:t>
      </w:r>
      <w:r>
        <w:t xml:space="preserve">for item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mean over the judge panel</w:t>
      </w:r>
      <w:r>
        <w:t xml:space="preserve"> </w:t>
      </w:r>
      <m:oMath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J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The panel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maximizes</w:t>
      </w:r>
      <w:r>
        <w:t xml:space="preserve"> </w:t>
      </w:r>
      <w:r>
        <w:rPr>
          <w:i/>
          <w:iCs/>
        </w:rPr>
        <w:t xml:space="preserve">vendor-family diversity</w:t>
      </w:r>
      <w:r>
        <w:t xml:space="preserve">, so family-correlated biases (self-preference, shared</w:t>
      </w:r>
      <w:r>
        <w:t xml:space="preserve"> </w:t>
      </w:r>
      <w:r>
        <w:t xml:space="preserve">idiosyncrasies) do not reinforce one another; when per-judge biases have mixed sign, as we observe for verbosity</w:t>
      </w:r>
      <w:r>
        <w:t xml:space="preserve"> </w:t>
      </w:r>
      <w:r>
        <w:t xml:space="preserve">(Appendix E), the averaging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cancels them. This is the mechanism behind our claim that</w:t>
      </w:r>
      <w:r>
        <w:t xml:space="preserve"> </w:t>
      </w:r>
      <w:r>
        <w:rPr>
          <w:i/>
          <w:iCs/>
        </w:rPr>
        <w:t xml:space="preserve">composition</w:t>
      </w:r>
      <w:r>
        <w:t xml:space="preserve">, not size, drives reliability: a large same-family panel amplifies a shared bias, a small</w:t>
      </w:r>
      <w:r>
        <w:t xml:space="preserve"> </w:t>
      </w:r>
      <w:r>
        <w:t xml:space="preserve">cross-family panel cancels it. The default aggregator is the unweighted mean, with composition enforced by judge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(Section 5.2). CoEval also offers an</w:t>
      </w:r>
      <w:r>
        <w:t xml:space="preserve"> </w:t>
      </w:r>
      <w:r>
        <w:rPr>
          <w:i/>
          <w:iCs/>
        </w:rPr>
        <w:t xml:space="preserve">unsupervised reliability-weighted</w:t>
      </w:r>
      <w:r>
        <w:t xml:space="preserve"> </w:t>
      </w:r>
      <w:r>
        <w:t xml:space="preserve">aggregator</w:t>
      </w:r>
      <w:r>
        <w:t xml:space="preserve"> </w:t>
      </w:r>
      <w:r>
        <w:t xml:space="preserve">needing no ground truth (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), down-weighting judges that disagree with the</w:t>
      </w:r>
      <w:r>
        <w:t xml:space="preserve"> </w:t>
      </w:r>
      <w:r>
        <w:t xml:space="preserve">panel, and a</w:t>
      </w:r>
      <w:r>
        <w:t xml:space="preserve"> </w:t>
      </w:r>
      <w:r>
        <w:rPr>
          <w:b/>
          <w:bCs/>
        </w:rPr>
        <w:t xml:space="preserve">doubly-robust ranking</w:t>
      </w:r>
      <w:r>
        <w:t xml:space="preserve"> </w:t>
      </w:r>
      <w:r>
        <w:t xml:space="preserve">that additionally weights each item by its</w:t>
      </w:r>
      <w:r>
        <w:t xml:space="preserve"> </w:t>
      </w:r>
      <w:r>
        <w:rPr>
          <w:i/>
          <w:iCs/>
        </w:rPr>
        <w:t xml:space="preserve">discriminative power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>
          <m:e>
            <m:r>
              <m:rPr>
                <m:sty m:val="p"/>
              </m:rPr>
              <m:t>Var</m:t>
            </m:r>
          </m:e>
          <m:sub>
            <m:r>
              <m:t>m</m:t>
            </m:r>
          </m:sub>
        </m:sSub>
        <m:sSub>
          <m:e>
            <m:r>
              <m:t>s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, so the ranking leans on items that separate</w:t>
      </w:r>
      <w:r>
        <w:t xml:space="preserve"> </w:t>
      </w:r>
      <w:r>
        <w:t xml:space="preserve">models and judges that agree with the panel, both label-free (model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s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normalized; evaluated in Section 5.2).</w:t>
      </w:r>
    </w:p>
    <w:bookmarkEnd w:id="17"/>
    <w:bookmarkStart w:id="18" w:name="reliability-and-bias-metrics"/>
    <w:p>
      <w:pPr>
        <w:pStyle w:val="Heading3"/>
        <w:keepNext/>
        <w:keepLines/>
        <w:widowControl w:val="1"/>
      </w:pPr>
      <w:r>
        <w:t xml:space="preserve">3.4 Reliability and bias metrics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reports panel agreement with the average-measures intraclass correlation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Spearman–Brown</w:t>
      </w:r>
      <w:r>
        <w:t xml:space="preserve"> </w:t>
      </w:r>
      <w:r>
        <w:t xml:space="preserve">prophecy relation that governs how reliability grows with panel size,</w:t>
      </w:r>
      <w:r>
        <w:t xml:space="preserve"> </w:t>
      </w:r>
      <w:r>
        <w:t xml:space="preserve">categorical rubric agreement with Cohen's</w:t>
      </w:r>
      <w:r>
        <w:t xml:space="preserve"> </w:t>
      </w:r>
      <m:oMath>
        <m:r>
          <m:t>κ</m:t>
        </m:r>
      </m:oMath>
      <w:r>
        <w:t xml:space="preserve">, and residual bias with a Pearson confound–score correlation</w:t>
      </w:r>
      <w:r>
        <w:t xml:space="preserve"> </w:t>
      </w:r>
      <w:r>
        <w:t xml:space="preserve">carrying a nonparametric bootstrap 95% confidence interval (a CI that includes zero indicates a bias indistinguishable</w:t>
      </w:r>
      <w:r>
        <w:t xml:space="preserve"> </w:t>
      </w:r>
      <w:r>
        <w:t xml:space="preserve">from absent). The exact estimator definitions are collected in</w:t>
      </w:r>
      <w:r>
        <w:t xml:space="preserve"> </w:t>
      </w:r>
      <w:hyperlink w:anchor="appA">
        <w:r>
          <w:rPr>
            <w:rStyle w:val="Hyperlink"/>
          </w:rPr>
          <w:t xml:space="preserve">Appendix A</w:t>
        </w:r>
      </w:hyperlink>
      <w:r>
        <w:t xml:space="preserve">.</w:t>
      </w:r>
    </w:p>
    <w:bookmarkEnd w:id="18"/>
    <w:bookmarkEnd w:id="19"/>
    <w:bookmarkStart w:id="20" w:name="experimental-setup"/>
    <w:p>
      <w:pPr>
        <w:pStyle w:val="Heading2"/>
        <w:keepNext/>
        <w:keepLines/>
        <w:widowControl w:val="1"/>
      </w:pPr>
      <w:r>
        <w:t xml:space="preserve">4. Experimental Setup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evaluate CoEval on a four-task medium-scale study spanning summarization, question answering, code generation, and</w:t>
      </w:r>
      <w:r>
        <w:t xml:space="preserve"> </w:t>
      </w:r>
      <w:r>
        <w:t xml:space="preserve">reasoning. The teacher generates an attribute-stratified benchmark per task; a set of student models produces responses;</w:t>
      </w:r>
      <w:r>
        <w:t xml:space="preserve"> </w:t>
      </w:r>
      <w:r>
        <w:t xml:space="preserve">and a cross-family judge ensemble, drawn from distinct vendors (OpenAI, and non-OpenAI open and proprietary</w:t>
      </w:r>
      <w:r>
        <w:t xml:space="preserve"> </w:t>
      </w:r>
      <w:r>
        <w:t xml:space="preserve">families including, e.g.,</w:t>
      </w:r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SmolLM2</w:t>
      </w:r>
      <w:r>
        <w:t xml:space="preserve"> </w:t>
      </w:r>
      <w:r>
        <w:t xml:space="preserve">among the panel), scores every</w:t>
      </w:r>
      <w:r>
        <w:t xml:space="preserve"> </w:t>
      </w:r>
      <w:r>
        <w:t xml:space="preserve">response against the auto-generated rubric. All raw scores are normalized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before aggregation. Reliability is</w:t>
      </w:r>
      <w:r>
        <w:t xml:space="preserve"> </w:t>
      </w:r>
      <w:r>
        <w:t xml:space="preserve">reported via ICC(3,k) and Spearman–Brown; bias is quantified via Pearson correlation. Confidence intervals are</w:t>
      </w:r>
      <w:r>
        <w:t xml:space="preserve"> </w:t>
      </w:r>
      <w:r>
        <w:t xml:space="preserve">computed by a nonparametric bootstrap, using a</w:t>
      </w:r>
      <w:r>
        <w:t xml:space="preserve"> </w:t>
      </w:r>
      <w:r>
        <w:rPr>
          <w:i/>
          <w:iCs/>
        </w:rPr>
        <w:t xml:space="preserve">datapoint-clustered</w:t>
      </w:r>
      <w:r>
        <w:t xml:space="preserve"> </w:t>
      </w:r>
      <w:r>
        <w:t xml:space="preserve">resample wherever observations are nested</w:t>
      </w:r>
      <w:r>
        <w:t xml:space="preserve"> </w:t>
      </w:r>
      <w:r>
        <w:t xml:space="preserve">(multiple student responses per item), and across the family of correlation tests we control the false-discovery rate</w:t>
      </w:r>
      <w:r>
        <w:t xml:space="preserve"> </w:t>
      </w:r>
      <w:r>
        <w:t xml:space="preserve">with the Benjamini–Hochberg procedure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The complete configuration (model identifiers,</w:t>
      </w:r>
      <w:r>
        <w:t xml:space="preserve"> </w:t>
      </w:r>
      <w:r>
        <w:t xml:space="preserve">attribute strata, and prompts) is captured in a single declarative configuration file, and all artifacts are regenerable</w:t>
      </w:r>
      <w:r>
        <w:t xml:space="preserve"> </w:t>
      </w:r>
      <w:r>
        <w:t xml:space="preserve">from that specification (per-experiment judge panels are in Appendix F, Table F1). The full study produced</w:t>
      </w:r>
      <w:r>
        <w:t xml:space="preserve"> </w:t>
      </w:r>
      <w:r>
        <w:rPr>
          <w:b/>
          <w:bCs/>
        </w:rPr>
        <w:t xml:space="preserve">7,978 valid evaluations</w:t>
      </w:r>
      <w:r>
        <w:t xml:space="preserve"> </w:t>
      </w:r>
      <w:r>
        <w:t xml:space="preserve">across the four tasks.</w:t>
      </w:r>
    </w:p>
    <w:bookmarkEnd w:id="20"/>
    <w:bookmarkStart w:id="31" w:name="results"/>
    <w:p>
      <w:pPr>
        <w:pStyle w:val="Heading2"/>
        <w:keepNext/>
        <w:keepLines/>
        <w:widowControl w:val="1"/>
      </w:pPr>
      <w:r>
        <w:t xml:space="preserve">5. Results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Our experiments answer one question:</w:t>
      </w:r>
      <w:r>
        <w:t xml:space="preserve"> </w:t>
      </w:r>
      <w:r>
        <w:rPr>
          <w:i/>
          <w:iCs/>
        </w:rPr>
        <w:t xml:space="preserve">does CoEval reliably rank models for a use case when one cannot use a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benchmark?</w:t>
      </w:r>
      <w:r>
        <w:t xml:space="preserve"> </w:t>
      </w:r>
      <w:r>
        <w:t xml:space="preserve">We organize the evidence accordingly. Section 5.1 establishes that CoEval's label-free</w:t>
      </w:r>
      <w:r>
        <w:t xml:space="preserve"> </w:t>
      </w:r>
      <w:r>
        <w:t xml:space="preserve">scores are</w:t>
      </w:r>
      <w:r>
        <w:t xml:space="preserve"> </w:t>
      </w:r>
      <w:r>
        <w:rPr>
          <w:i/>
          <w:iCs/>
        </w:rPr>
        <w:t xml:space="preserve">trustworthy</w:t>
      </w:r>
      <w:r>
        <w:t xml:space="preserve">: they track objective ground truth (</w:t>
      </w:r>
      <m:oMath>
        <m:r>
          <m:t>ρ</m:t>
        </m:r>
        <m:r>
          <m:rPr>
            <m:sty m:val="p"/>
          </m:rPr>
          <m:t>=</m:t>
        </m:r>
        <m:r>
          <m:t>0.86</m:t>
        </m:r>
      </m:oMath>
      <w:r>
        <w:t xml:space="preserve">) and reproduce the true model</w:t>
      </w:r>
      <w:r>
        <w:t xml:space="preserve"> </w:t>
      </w:r>
      <w:r>
        <w:t xml:space="preserve">ranking (Table 1), benchmarked against a single-judge G-Eval baseline. Section 5.2 and Appendix E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judging is reliable with no human calibration: a cross-family ensemble whose composition (not size)</w:t>
      </w:r>
      <w:r>
        <w:t xml:space="preserve"> </w:t>
      </w:r>
      <w:r>
        <w:t xml:space="preserve">governs reliability (Section 5.2) and, as Appendix E shows, cancels the verbosity bias every single judge</w:t>
      </w:r>
      <w:r>
        <w:t xml:space="preserve"> </w:t>
      </w:r>
      <w:r>
        <w:t xml:space="preserve">carries and structurally avoids self-preference; the auto-generated rubrics are themselves task-specialized with a shared quality core</w:t>
      </w:r>
      <w:r>
        <w:t xml:space="preserve"> </w:t>
      </w:r>
      <w:r>
        <w:t xml:space="preserve">(</w:t>
      </w:r>
      <w:hyperlink w:anchor="appB">
        <w:r>
          <w:rPr>
            <w:rStyle w:val="Hyperlink"/>
          </w:rPr>
          <w:t xml:space="preserve">Appendix B</w:t>
        </w:r>
      </w:hyperlink>
      <w:r>
        <w:t xml:space="preserve">). Section 5.3 verifies the second condition</w:t>
      </w:r>
      <w:r>
        <w:t xml:space="preserve"> </w:t>
      </w:r>
      <w:r>
        <w:t xml:space="preserve">directly, that the generated items are</w:t>
      </w:r>
      <w:r>
        <w:t xml:space="preserve"> </w:t>
      </w:r>
      <w:r>
        <w:rPr>
          <w:i/>
          <w:iCs/>
        </w:rPr>
        <w:t xml:space="preserve">contamination-free</w:t>
      </w:r>
      <w:r>
        <w:t xml:space="preserve">. Section 5.4 exercises the complete tool on three custom verticals (drug interaction, clinical, legal) with no labeled data, and Appendix D shows that rankings are domain-specific: across four de-novo domains three different models take first place, so a generic leaderboard misdirects the practitioner that CoEval's per-domain ranking serves.</w:t>
      </w:r>
    </w:p>
    <w:bookmarkStart w:id="24" w:name="X7df2e9e9a901f5ac4e837e696941ee5802047fd"/>
    <w:p>
      <w:pPr>
        <w:pStyle w:val="Heading3"/>
        <w:keepNext/>
        <w:keepLines/>
        <w:widowControl w:val="1"/>
      </w:pPr>
      <w:r>
        <w:t xml:space="preserve">5.1 Judge accuracy: agreement with ground truth and human ratings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ground CoEval scores against an objective signal, we evaluate on exact-match question answering, where ground</w:t>
      </w:r>
      <w:r>
        <w:t xml:space="preserve"> </w:t>
      </w:r>
      <w:r>
        <w:t xml:space="preserve">truth is unambiguous. SciQ and ARC-Challenge responses (task identifiers</w:t>
      </w:r>
      <w:r>
        <w:t xml:space="preserve"> </w:t>
      </w:r>
      <w:r>
        <w:rPr>
          <w:rStyle w:val="VerbatimChar"/>
        </w:rPr>
        <w:t xml:space="preserve">science_qa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science_reasoning</w:t>
      </w:r>
      <w:r>
        <w:t xml:space="preserve">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573</m:t>
        </m:r>
      </m:oMath>
      <w:r>
        <w:t xml:space="preserve"> </w:t>
      </w:r>
      <w:r>
        <w:t xml:space="preserve">from three student models over</w:t>
      </w:r>
      <w:r>
        <w:t xml:space="preserve"> </w:t>
      </w:r>
      <m:oMath>
        <m:r>
          <m:t>191</m:t>
        </m:r>
      </m:oMath>
      <w:r>
        <w:t xml:space="preserve"> </w:t>
      </w:r>
      <w:r>
        <w:t xml:space="preserve">datapoints)</w:t>
      </w:r>
      <w:r>
        <w:t xml:space="preserve"> </w:t>
      </w:r>
      <w:r>
        <w:t xml:space="preserve">are scored both by the CoEval judge ensemble and by exact-match correctness. We correlate the rubric's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dimension, declared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as the construct matching correctness, independent of any observed</w:t>
      </w:r>
      <w:r>
        <w:t xml:space="preserve"> </w:t>
      </w:r>
      <w:r>
        <w:t xml:space="preserve">correlation, with ground truth; the off-target</w:t>
      </w:r>
      <w:r>
        <w:t xml:space="preserve"> </w:t>
      </w:r>
      <w:r>
        <w:rPr>
          <w:i/>
          <w:iCs/>
        </w:rPr>
        <w:t xml:space="preserve">relevance</w:t>
      </w:r>
      <w:r>
        <w:t xml:space="preserve"> </w:t>
      </w:r>
      <w:r>
        <w:t xml:space="preserve">dimension</w:t>
      </w:r>
      <w:r>
        <w:t xml:space="preserve"> </w:t>
      </w:r>
      <w:r>
        <w:t xml:space="preserve">(</w:t>
      </w:r>
      <m:oMath>
        <m:r>
          <m:t>ρ</m:t>
        </m:r>
        <m:r>
          <m:rPr>
            <m:sty m:val="p"/>
          </m:rPr>
          <m:t>=</m:t>
        </m:r>
        <m:r>
          <m:t>0.20</m:t>
        </m:r>
      </m:oMath>
      <w:r>
        <w:t xml:space="preserve">) and the full-rubric average (</w:t>
      </w:r>
      <m:oMath>
        <m:r>
          <m:t>ρ</m:t>
        </m:r>
        <m:r>
          <m:rPr>
            <m:sty m:val="p"/>
          </m:rPr>
          <m:t>=</m:t>
        </m:r>
        <m:r>
          <m:t>0.55</m:t>
        </m:r>
      </m:oMath>
      <w:r>
        <w:t xml:space="preserve">) score far lower, the construct-matched dimension</w:t>
      </w:r>
      <w:r>
        <w:t xml:space="preserve"> </w:t>
      </w:r>
      <w:r>
        <w:t xml:space="preserve">tracking correctness while the off-target one does not, evidence of construct validity. The judge panel is a frontier cross-family ensemble: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 </w:t>
      </w:r>
      <w:r>
        <w:t xml:space="preserve">(OpenAI),</w:t>
      </w:r>
      <w:r>
        <w:t xml:space="preserve"> </w:t>
      </w:r>
      <w:r>
        <w:rPr>
          <w:rStyle w:val="VerbatimChar"/>
        </w:rPr>
        <w:t xml:space="preserve">claude-sonnet-4</w:t>
      </w:r>
      <w:r>
        <w:t xml:space="preserve"> </w:t>
      </w:r>
      <w:r>
        <w:t xml:space="preserve">(Anthropic), and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 </w:t>
      </w:r>
      <w:r>
        <w:t xml:space="preserve">(Google). Confidence intervals use a</w:t>
      </w:r>
      <w:r>
        <w:t xml:space="preserve"> </w:t>
      </w:r>
      <w:r>
        <w:rPr>
          <w:i/>
          <w:iCs/>
        </w:rPr>
        <w:t xml:space="preserve">datapoint-clustered</w:t>
      </w:r>
      <w:r>
        <w:t xml:space="preserve"> </w:t>
      </w:r>
      <w:r>
        <w:t xml:space="preserve">bootstrap (resampling the</w:t>
      </w:r>
      <w:r>
        <w:t xml:space="preserve"> </w:t>
      </w:r>
      <m:oMath>
        <m:r>
          <m:t>191</m:t>
        </m:r>
      </m:oMath>
      <w:r>
        <w:t xml:space="preserve"> </w:t>
      </w:r>
      <w:r>
        <w:t xml:space="preserve">items rather than the</w:t>
      </w:r>
      <w:r>
        <w:t xml:space="preserve"> </w:t>
      </w:r>
      <m:oMath>
        <m:r>
          <m:t>573</m:t>
        </m:r>
      </m:oMath>
      <w:r>
        <w:t xml:space="preserve"> </w:t>
      </w:r>
      <w:r>
        <w:t xml:space="preserve">dependent responses), so</w:t>
      </w:r>
      <w:r>
        <w:t xml:space="preserve"> </w:t>
      </w:r>
      <w:r>
        <w:t xml:space="preserve">within-item and repeated-rater dependence are not mistaken for precision. These QA items are sourced from public</w:t>
      </w:r>
      <w:r>
        <w:t xml:space="preserve"> </w:t>
      </w:r>
      <w:r>
        <w:t xml:space="preserve">datasets through the benchmark teacher; the contamination-free property of Section 3.2 applies to CoEval's</w:t>
      </w:r>
      <w:r>
        <w:t xml:space="preserve"> </w:t>
      </w:r>
      <w:r>
        <w:rPr>
          <w:i/>
          <w:iCs/>
        </w:rPr>
        <w:t xml:space="preserve">generated</w:t>
      </w:r>
      <w:r>
        <w:t xml:space="preserve"> </w:t>
      </w:r>
      <w:r>
        <w:t xml:space="preserve">items, not to this externally-anchored validation, which isolates judge accuracy.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On objective correctness the frontier ensemble reaches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0.859</m:t>
        </m:r>
      </m:oMath>
      <w:r>
        <w:t xml:space="preserve"> </w:t>
      </w:r>
      <w:r>
        <w:t xml:space="preserve">(datapoint-clustered 95% CI</w:t>
      </w:r>
      <w:r>
        <w:t xml:space="preserve"> </w:t>
      </w:r>
      <m:oMath>
        <m:r>
          <m:rPr>
            <m:sty m:val="p"/>
          </m:rPr>
          <m:t>[</m:t>
        </m:r>
        <m:r>
          <m:t>0.77</m:t>
        </m:r>
        <m:r>
          <m:rPr>
            <m:sty m:val="p"/>
          </m:rPr>
          <m:t>,</m:t>
        </m:r>
        <m:r>
          <m:t>0.94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per task,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0.669</m:t>
        </m:r>
      </m:oMath>
      <w:r>
        <w:t xml:space="preserve"> </w:t>
      </w:r>
      <w:r>
        <w:t xml:space="preserve">on SciQ and</w:t>
      </w:r>
      <w:r>
        <w:t xml:space="preserve"> </w:t>
      </w:r>
      <m:oMath>
        <m:r>
          <m:t>0.882</m:t>
        </m:r>
      </m:oMath>
      <w:r>
        <w:t xml:space="preserve"> </w:t>
      </w:r>
      <w:r>
        <w:t xml:space="preserve">on ARC-Challenge). Because correctness is objective, the three frontier</w:t>
      </w:r>
      <w:r>
        <w:t xml:space="preserve"> </w:t>
      </w:r>
      <w:r>
        <w:t xml:space="preserve">judges (</w:t>
      </w:r>
      <w:r>
        <w:rPr>
          <w:rStyle w:val="VerbatimChar"/>
        </w:rPr>
        <w:t xml:space="preserve">gpt-4o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claude-sonnet-4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agree on every one of the</w:t>
      </w:r>
      <w:r>
        <w:t xml:space="preserve"> </w:t>
      </w:r>
      <m:oMath>
        <m:r>
          <m:t>573</m:t>
        </m:r>
      </m:oMath>
      <w:r>
        <w:t xml:space="preserve"> </w:t>
      </w:r>
      <w:r>
        <w:t xml:space="preserve">items, so each judge alone reproduces this exactly and the ensemble matches its strongest member: CoEval judges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accurate</w:t>
      </w:r>
      <w:r>
        <w:t xml:space="preserve"> </w:t>
      </w:r>
      <w:r>
        <w:t xml:space="preserve">and, on this objective anchor, the result is</w:t>
      </w:r>
      <w:r>
        <w:t xml:space="preserve"> </w:t>
      </w:r>
      <w:r>
        <w:rPr>
          <w:i/>
          <w:iCs/>
        </w:rPr>
        <w:t xml:space="preserve">vendor-independent</w:t>
      </w:r>
      <w:r>
        <w:t xml:space="preserve">, no single provider drives it. The weaker</w:t>
      </w:r>
      <w:r>
        <w:t xml:space="preserve"> </w:t>
      </w:r>
      <w:r>
        <w:t xml:space="preserve">auxiliary judges contrasted against them (Section 5.2) disagree on 3–8 items, confirming genuine independent</w:t>
      </w:r>
      <w:r>
        <w:t xml:space="preserve"> </w:t>
      </w:r>
      <w:r>
        <w:t xml:space="preserve">convergence of capable judges on objective correctness, not redundancy of identical models.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On open-ended summarization scored against a lexical</w:t>
      </w:r>
      <w:r>
        <w:t xml:space="preserve"> </w:t>
      </w:r>
      <w:r>
        <w:t xml:space="preserve">BERTScore reference, the cross-family ensemble (</w:t>
      </w:r>
      <m:oMath>
        <m:r>
          <m:t>ρ</m:t>
        </m:r>
        <m:r>
          <m:rPr>
            <m:sty m:val="p"/>
          </m:rPr>
          <m:t>=</m:t>
        </m:r>
        <m:r>
          <m:t>0.227</m:t>
        </m:r>
      </m:oMath>
      <w:r>
        <w:t xml:space="preserve">) tracks ground truth within the confidence interval of a</w:t>
      </w:r>
      <w:r>
        <w:t xml:space="preserve"> </w:t>
      </w:r>
      <w:r>
        <w:t xml:space="preserve">single GPT-4o</w:t>
      </w:r>
      <w:r>
        <w:t xml:space="preserve"> </w:t>
      </w:r>
      <w:r>
        <w:rPr>
          <w:b/>
          <w:bCs/>
        </w:rPr>
        <w:t xml:space="preserve">G-Eval</w:t>
      </w:r>
      <w:r>
        <w:t xml:space="preserve"> </w:t>
      </w:r>
      <w:r>
        <w:t xml:space="preserve">[</w:t>
      </w:r>
      <w:hyperlink w:anchor="r2">
        <w:r>
          <w:rPr>
            <w:rStyle w:val="Hyperlink"/>
          </w:rPr>
          <w:t xml:space="preserve">2</w:t>
        </w:r>
      </w:hyperlink>
      <w:r>
        <w:t xml:space="preserve">] judge using chain-of-thought (</w:t>
      </w:r>
      <m:oMath>
        <m:r>
          <m:t>ρ</m:t>
        </m:r>
        <m:r>
          <m:rPr>
            <m:sty m:val="p"/>
          </m:rPr>
          <m:t>=</m:t>
        </m:r>
        <m:r>
          <m:t>0.259</m:t>
        </m:r>
      </m:oMath>
      <w:r>
        <w:t xml:space="preserve">, 95% CI</w:t>
      </w:r>
      <w:r>
        <w:t xml:space="preserve"> </w:t>
      </w:r>
      <m:oMath>
        <m:r>
          <m:rPr>
            <m:sty m:val="p"/>
          </m:rPr>
          <m:t>[</m:t>
        </m:r>
        <m:r>
          <m:t>0.18</m:t>
        </m:r>
        <m:r>
          <m:rPr>
            <m:sty m:val="p"/>
          </m:rPr>
          <m:t>,</m:t>
        </m:r>
        <m:r>
          <m:t>0.33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580</m:t>
        </m:r>
      </m:oMath>
      <w:r>
        <w:t xml:space="preserve">): a statistical tie with this strong single-judge baseline, without depending on any one model. A single judge</w:t>
      </w:r>
      <w:r>
        <w:t xml:space="preserve"> </w:t>
      </w:r>
      <w:r>
        <w:t xml:space="preserve">cannot be chosen safely in advance: on this summarization subset (</w:t>
      </w:r>
      <m:oMath>
        <m:r>
          <m:t>n</m:t>
        </m:r>
        <m:r>
          <m:rPr>
            <m:sty m:val="p"/>
          </m:rPr>
          <m:t>=</m:t>
        </m:r>
        <m:r>
          <m:t>580</m:t>
        </m:r>
      </m:oMath>
      <w:r>
        <w:t xml:space="preserve">) the panel's individual judges range from anti-correlated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gpt-3.5-turbo</w:t>
      </w:r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0.01</m:t>
        </m:r>
      </m:oMath>
      <w:r>
        <w:t xml:space="preserve">) to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0.25</m:t>
        </m:r>
      </m:oMath>
      <w:r>
        <w:t xml:space="preserve">, and which judge is best changes by task, so no fixed</w:t>
      </w:r>
      <w:r>
        <w:t xml:space="preserve"> </w:t>
      </w:r>
      <w:r>
        <w:t xml:space="preserve">single-judge choice is safe a priori (Section 5.2 quantifies this judge-choice regret across the full</w:t>
      </w:r>
      <w:r>
        <w:t xml:space="preserve"> </w:t>
      </w:r>
      <w:r>
        <w:t xml:space="preserve">benchmark-grounded set). The cross-family ensemble is the low-regret alternative: it is never</w:t>
      </w:r>
      <w:r>
        <w:t xml:space="preserve"> </w:t>
      </w:r>
      <w:r>
        <w:t xml:space="preserve">anti-correlated and needs no judge-selection oracle. The ensemble's</w:t>
      </w:r>
      <w:r>
        <w:t xml:space="preserve"> </w:t>
      </w:r>
      <w:r>
        <w:t xml:space="preserve">decisive advantage on such open-ended tasks is</w:t>
      </w:r>
      <w:r>
        <w:t xml:space="preserve"> </w:t>
      </w:r>
      <w:r>
        <w:rPr>
          <w:i/>
          <w:iCs/>
        </w:rPr>
        <w:t xml:space="preserve">bias-robustness</w:t>
      </w:r>
      <w:r>
        <w:t xml:space="preserve">: individual judges carry verbosity biases of</w:t>
      </w:r>
      <w:r>
        <w:t xml:space="preserve"> </w:t>
      </w:r>
      <w:r>
        <w:t xml:space="preserve">opposite sign that the ensemble provably cancels (Appendix E), paired with the contamination-resistant items</w:t>
      </w:r>
      <w:r>
        <w:t xml:space="preserve"> </w:t>
      </w:r>
      <w:r>
        <w:t xml:space="preserve">CoEval</w:t>
      </w:r>
      <w:r>
        <w:t xml:space="preserve"> </w:t>
      </w:r>
      <w:r>
        <w:rPr>
          <w:i/>
          <w:iCs/>
        </w:rPr>
        <w:t xml:space="preserve">generates</w:t>
      </w:r>
      <w:r>
        <w:t xml:space="preserve"> </w:t>
      </w:r>
      <w:r>
        <w:t xml:space="preserve">rather than consumes; these are properties no single judge provides.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Evaluation is a means to an end,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candidate models for a use case, so we verify that CoEval</w:t>
      </w:r>
      <w:r>
        <w:t xml:space="preserve"> </w:t>
      </w:r>
      <w:r>
        <w:t xml:space="preserve">scores yield the correct ranking. Figure 1 and Table 1 rank the three student models by their CoEval frontier-ensemble</w:t>
      </w:r>
      <w:r>
        <w:t xml:space="preserve"> </w:t>
      </w:r>
      <w:r>
        <w:t xml:space="preserve">accuracy score and, independently, by ground-truth correctness. The two rankings are</w:t>
      </w:r>
      <w:r>
        <w:t xml:space="preserve"> </w:t>
      </w:r>
      <w:r>
        <w:rPr>
          <w:b/>
          <w:bCs/>
        </w:rPr>
        <w:t xml:space="preserve">identical</w:t>
      </w:r>
      <w:r>
        <w:t xml:space="preserve">;</w:t>
      </w:r>
      <w:r>
        <w:t xml:space="preserve"> </w:t>
      </w:r>
      <w:r>
        <w:t xml:space="preserve">CoEval's scores fall within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of the true accuracies, and the confidence intervals cleanly separate the weakest</w:t>
      </w:r>
      <w:r>
        <w:t xml:space="preserve"> </w:t>
      </w:r>
      <w:r>
        <w:t xml:space="preserve">model. Producing this ranking required a single configuration file and no human annotation: the core operation</w:t>
      </w:r>
      <w:r>
        <w:t xml:space="preserve"> </w:t>
      </w:r>
      <w:r>
        <w:t xml:space="preserve">the framework is built to make easy.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224272" cy="2987040"/>
            <wp:effectExtent b="0" l="0" r="0" t="0"/>
            <wp:docPr descr="CoEval ensemble score versus ground-truth accuracy per model; rankings identical" title="" id="22" name="Picture"/>
            <a:graphic>
              <a:graphicData uri="http://schemas.openxmlformats.org/drawingml/2006/picture">
                <pic:pic>
                  <pic:nvPicPr>
                    <pic:cNvPr descr="figures/f4_correctness_cor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272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CoEval recovers the true model ranking with no labels. For each student model the CoEval frontier-ensemble accuracy score (green, datapoint-clustered 95% CI) and the held-out ground-truth accuracy (blue) coincide within 0.02, and the order gpt-4o-mini &gt; gpt-3.5-turbo &gt; llama-3.2-3b is reproduced exactly (cf. Table 1).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CoEval reproduces the ground-truth model ranking. Three student models ranked by CoEval frontier-ensemble accuracy score (datapoint-clustered 95% CI) and by exact-match ground truth; the orderings match.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Eval reproduces the ground-truth model ranking. Three student models ranked by CoEval frontier-ensemble accuracy score (datapoint-clustered 95% CI) and by exact-match ground truth; the orderings match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Model under evaluation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CoEval score [95% CI]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Ground-truth accuracy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0.963 [0.937, 0.984]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gpt-3.5-turbo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0.921 [0.880, 0.958]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llama-3.2-3b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0.843 [0.791, 0.895]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0.832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Agreement with human judgments.</w:t>
      </w:r>
      <w:r>
        <w:t xml:space="preserve"> </w:t>
      </w:r>
      <w:r>
        <w:t xml:space="preserve">The validation above anchors the judge to objective exact-match</w:t>
      </w:r>
      <w:r>
        <w:t xml:space="preserve"> </w:t>
      </w:r>
      <w:r>
        <w:t xml:space="preserve">ground truth. We additionally test it against</w:t>
      </w:r>
      <w:r>
        <w:t xml:space="preserve"> </w:t>
      </w:r>
      <w:r>
        <w:rPr>
          <w:i/>
          <w:iCs/>
        </w:rPr>
        <w:t xml:space="preserve">human</w:t>
      </w:r>
      <w:r>
        <w:t xml:space="preserve"> </w:t>
      </w:r>
      <w:r>
        <w:t xml:space="preserve">quality judgments on two standard meta-evaluation</w:t>
      </w:r>
      <w:r>
        <w:t xml:space="preserve"> </w:t>
      </w:r>
      <w:r>
        <w:t xml:space="preserve">benchmarks (Table 2), scoring with the same cheap cross-family panel (</w:t>
      </w:r>
      <w:r>
        <w:rPr>
          <w:rStyle w:val="VerbatimChar"/>
        </w:rPr>
        <w:t xml:space="preserve">gpt-4o-mini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claude-3.5-haiku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gemini-flash</w:t>
      </w:r>
      <w:r>
        <w:t xml:space="preserve">). On SummEval [</w:t>
      </w:r>
      <w:hyperlink w:anchor="r37">
        <w:r>
          <w:rPr>
            <w:rStyle w:val="Hyperlink"/>
          </w:rPr>
          <w:t xml:space="preserve">37</w:t>
        </w:r>
      </w:hyperlink>
      <w:r>
        <w:t xml:space="preserve">], where experts rate machine summaries, the panel</w:t>
      </w:r>
      <w:r>
        <w:t xml:space="preserve"> </w:t>
      </w:r>
      <w:r>
        <w:t xml:space="preserve">correlates with human ratings at Spearman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(relevance),</w:t>
      </w:r>
      <w:r>
        <w:t xml:space="preserve"> </w:t>
      </w:r>
      <m:oMath>
        <m:r>
          <m:t>0.58</m:t>
        </m:r>
      </m:oMath>
      <w:r>
        <w:t xml:space="preserve"> </w:t>
      </w:r>
      <w:r>
        <w:t xml:space="preserve">(coherence), and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(consistency), in the</w:t>
      </w:r>
      <w:r>
        <w:t xml:space="preserve"> </w:t>
      </w:r>
      <w:r>
        <w:t xml:space="preserve">range strong single-model judges such as G-Eval [</w:t>
      </w:r>
      <w:hyperlink w:anchor="r2">
        <w:r>
          <w:rPr>
            <w:rStyle w:val="Hyperlink"/>
          </w:rPr>
          <w:t xml:space="preserve">2</w:t>
        </w:r>
      </w:hyperlink>
      <w:r>
        <w:t xml:space="preserve">] report on this benchmark, reached here by a</w:t>
      </w:r>
      <w:r>
        <w:t xml:space="preserve"> </w:t>
      </w:r>
      <w:r>
        <w:t xml:space="preserve">panel of small models; the panel exceeds its best single judge on relevance and coherence, and the blind</w:t>
      </w:r>
      <w:r>
        <w:t xml:space="preserve"> </w:t>
      </w:r>
      <w:r>
        <w:t xml:space="preserve">single-judge average on all three. On LLMBar [</w:t>
      </w:r>
      <w:hyperlink w:anchor="r38">
        <w:r>
          <w:rPr>
            <w:rStyle w:val="Hyperlink"/>
          </w:rPr>
          <w:t xml:space="preserve">38</w:t>
        </w:r>
      </w:hyperlink>
      <w:r>
        <w:t xml:space="preserve">], which asks an evaluator to pick the</w:t>
      </w:r>
      <w:r>
        <w:t xml:space="preserve"> </w:t>
      </w:r>
      <w:r>
        <w:t xml:space="preserve">human-preferred output, the panel scores each output</w:t>
      </w:r>
      <w:r>
        <w:t xml:space="preserve"> </w:t>
      </w:r>
      <w:r>
        <w:rPr>
          <w:i/>
          <w:iCs/>
        </w:rPr>
        <w:t xml:space="preserve">absolutely</w:t>
      </w:r>
      <w:r>
        <w:t xml:space="preserve"> </w:t>
      </w:r>
      <w:r>
        <w:t xml:space="preserve">(so no position bias) and prefers the</w:t>
      </w:r>
      <w:r>
        <w:t xml:space="preserve"> </w:t>
      </w:r>
      <w:r>
        <w:t xml:space="preserve">higher; it reaches</w:t>
      </w:r>
      <w:r>
        <w:t xml:space="preserve"> </w:t>
      </w:r>
      <m:oMath>
        <m:r>
          <m:t>0.845</m:t>
        </m:r>
      </m:oMath>
      <w:r>
        <w:t xml:space="preserve"> </w:t>
      </w:r>
      <w:r>
        <w:t xml:space="preserve">preference accuracy overall (</w:t>
      </w:r>
      <m:oMath>
        <m:r>
          <m:t>0.94</m:t>
        </m:r>
      </m:oMath>
      <w:r>
        <w:t xml:space="preserve"> </w:t>
      </w:r>
      <w:r>
        <w:t xml:space="preserve">on the natural split), exceeding the expected accuracy</w:t>
      </w:r>
      <w:r>
        <w:t xml:space="preserve"> </w:t>
      </w:r>
      <w:r>
        <w:t xml:space="preserve">of a single judge chosen blind (</w:t>
      </w:r>
      <m:oMath>
        <m:r>
          <m:t>0.76</m:t>
        </m:r>
      </m:oMath>
      <w:r>
        <w:t xml:space="preserve">) by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and matching the best single judge (</w:t>
      </w:r>
      <m:oMath>
        <m:r>
          <m:t>0.84</m:t>
        </m:r>
      </m:oMath>
      <w:r>
        <w:t xml:space="preserve">) without needing to know</w:t>
      </w:r>
      <w:r>
        <w:t xml:space="preserve"> </w:t>
      </w:r>
      <w:r>
        <w:t xml:space="preserve">which judge that is. Because peer-agreement weights are near-uniform on a clean panel, the weighted and unweighted</w:t>
      </w:r>
      <w:r>
        <w:t xml:space="preserve"> </w:t>
      </w:r>
      <w:r>
        <w:t xml:space="preserve">panels coincide here; the weighting earns its value under judge-pool contamination (Section 5.2).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m:oMath>
        <m:r>
          <m:t>n</m:t>
        </m:r>
        <m:r>
          <m:rPr>
            <m:sty m:val="p"/>
          </m:rPr>
          <m:t>=</m:t>
        </m:r>
        <m:r>
          <m:t>293</m:t>
        </m:r>
      </m:oMath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Agreement with human judgments. CoEval cross-family panel versus humans on two standard meta-evaluation benchmarks: SummEval (Spearman of panel score with expert ratings, ) and LLMBar (accuracy at matching the human-preferred output, ). The panel tracks or exceeds the best single judge, which a label-free user cannot select in advance, and clearly beats the blind single-judge average.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Agreement with human judgments. CoEval cross-family panel versus humans on two standard meta-evaluation benchmarks: SummEval (Spearman of panel score with expert ratings, n = 293) and LLMBar (accuracy at matching the human-preferred output, n = 400). The panel tracks or exceeds the best single judge, which a label-free user cannot select in advance, and clearly beats the blind single-judge averag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Benchmark and 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Best single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Blind single (avg)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SummEval relevance (Spearman)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0.48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0.45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SummEval coherence (Spearman)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0.47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SummEval consistency (Spearman)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LLMBar overall (accuracy)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0.843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0.762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  LLMBar natural split (accuracy)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0.860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0.831</w:t>
            </w:r>
          </w:p>
        </w:tc>
      </w:tr>
    </w:tbl>
    <w:bookmarkEnd w:id="24"/>
    <w:bookmarkStart w:id="28" w:name="Xe8bbf6e8b303eda2252037f5179fa153abacf26"/>
    <w:p>
      <w:pPr>
        <w:pStyle w:val="Heading3"/>
        <w:keepNext/>
        <w:keepLines/>
        <w:widowControl w:val="1"/>
      </w:pPr>
      <w:r>
        <w:t xml:space="preserve">5.2 Ensemble reliability: composition, judge-choice regret, and a self-validating panel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reliability of a judge ensemble is governed by its</w:t>
      </w:r>
      <w:r>
        <w:t xml:space="preserve"> </w:t>
      </w:r>
      <w:r>
        <w:rPr>
          <w:i/>
          <w:iCs/>
        </w:rPr>
        <w:t xml:space="preserve">composition</w:t>
      </w:r>
      <w:r>
        <w:t xml:space="preserve">, not its size. We measure average-measures</w:t>
      </w:r>
      <w:r>
        <w:t xml:space="preserve"> </w:t>
      </w:r>
      <w:r>
        <w:t xml:space="preserve">inter-rater reliability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as judges are added in descending order of agreement (Figure 2).</w:t>
      </w:r>
      <w:r>
        <w:t xml:space="preserve"> </w:t>
      </w:r>
      <w:r>
        <w:t xml:space="preserve">Reliability is</w:t>
      </w:r>
      <w:r>
        <w:t xml:space="preserve"> </w:t>
      </w:r>
      <w:r>
        <w:rPr>
          <w:b/>
          <w:bCs/>
        </w:rPr>
        <w:t xml:space="preserve">non-monotone</w:t>
      </w:r>
      <w:r>
        <w:t xml:space="preserve">: a selected two-judge panel reaches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t xml:space="preserve">, but</w:t>
      </w:r>
      <w:r>
        <w:t xml:space="preserve"> </w:t>
      </w:r>
      <w:r>
        <w:t xml:space="preserve">appending lower-agreement judges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it to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0.40</m:t>
        </m:r>
      </m:oMath>
      <w:r>
        <w:t xml:space="preserve">. This is the Spearman–Brown</w:t>
      </w:r>
      <w:r>
        <w:t xml:space="preserve"> </w:t>
      </w:r>
      <w:r>
        <w:t xml:space="preserve">relation (</w:t>
      </w:r>
      <w:hyperlink w:anchor="appA">
        <w:r>
          <w:rPr>
            <w:rStyle w:val="Hyperlink"/>
          </w:rPr>
          <w:t xml:space="preserve">Appendix A</w:t>
        </w:r>
      </w:hyperlink>
      <w:r>
        <w:t xml:space="preserve">) operating in reverse: an added judge with low mean correlation</w:t>
      </w:r>
      <w:r>
        <w:t xml:space="preserve"> </w:t>
      </w: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 </w:t>
      </w:r>
      <w:r>
        <w:t xml:space="preserve">to the panel</w:t>
      </w:r>
      <w:r>
        <w:t xml:space="preserve"> </w:t>
      </w:r>
      <w:r>
        <w:t xml:space="preserve">reduces</w:t>
      </w:r>
      <w:r>
        <w:t xml:space="preserve"> </w:t>
      </w: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 </w:t>
      </w:r>
      <w:r>
        <w:t xml:space="preserve">faster than the</w:t>
      </w:r>
      <w:r>
        <w:t xml:space="preserve"> </w:t>
      </w:r>
      <m:oMath>
        <m:r>
          <m:t>k</m:t>
        </m:r>
      </m:oMath>
      <w:r>
        <w:t xml:space="preserve">-fold averaging can compensate, so the aggregate reliability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falls. The</w:t>
      </w:r>
      <w:r>
        <w:t xml:space="preserve"> </w:t>
      </w:r>
      <w:r>
        <w:t xml:space="preserve">effect is exact: our measured ICC matches the Spearman–Brown prediction to three decimals. Naively enlarging</w:t>
      </w:r>
      <w:r>
        <w:t xml:space="preserve"> </w:t>
      </w:r>
      <w:r>
        <w:t xml:space="preserve">a panel can therefore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it; what matters is retaining high-agreement judges.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decisive variable is</w:t>
      </w:r>
      <w:r>
        <w:t xml:space="preserve"> </w:t>
      </w:r>
      <w:r>
        <w:rPr>
          <w:i/>
          <w:iCs/>
        </w:rPr>
        <w:t xml:space="preserve">composition</w:t>
      </w:r>
      <w:r>
        <w:t xml:space="preserve">. Among the competent judges that CoEval's consensus selection retains,</w:t>
      </w:r>
      <w:r>
        <w:t xml:space="preserve"> </w:t>
      </w:r>
      <w:r>
        <w:t xml:space="preserve">average-measures reliability follows the Spearman–Brown law: a selected two-judge panel already reaches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t xml:space="preserve">. This is exactly why CoEval makes judge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a first-class step rather than</w:t>
      </w:r>
      <w:r>
        <w:t xml:space="preserve"> </w:t>
      </w:r>
      <w:r>
        <w:t xml:space="preserve">simply enlarging the panel: its</w:t>
      </w:r>
      <w:r>
        <w:t xml:space="preserve"> </w:t>
      </w:r>
      <w:r>
        <w:t xml:space="preserve">consensus criterion identifies and retains the high-agreement judges, delivering the reliable configuration</w:t>
      </w:r>
      <w:r>
        <w:t xml:space="preserve"> </w:t>
      </w:r>
      <w:r>
        <w:t xml:space="preserve">automatically. In other words, the framework converts panel composition from a liability for an unweighted</w:t>
      </w:r>
      <w:r>
        <w:t xml:space="preserve"> </w:t>
      </w:r>
      <w:r>
        <w:t xml:space="preserve">ensemble into a reliability</w:t>
      </w:r>
      <w:r>
        <w:t xml:space="preserve"> </w:t>
      </w:r>
      <w:r>
        <w:rPr>
          <w:i/>
          <w:iCs/>
        </w:rPr>
        <w:t xml:space="preserve">gain</w:t>
      </w:r>
      <w:r>
        <w:t xml:space="preserve">: the selected ensemble is robust to the inclusion of</w:t>
      </w:r>
      <w:r>
        <w:t xml:space="preserve"> </w:t>
      </w:r>
      <w:r>
        <w:t xml:space="preserve">weak models and more reliable than the unselected panel. The</w:t>
      </w:r>
      <w:r>
        <w:t xml:space="preserve"> </w:t>
      </w:r>
      <m:oMath>
        <m:r>
          <m:t>k</m:t>
        </m:r>
      </m:oMath>
      <w:r>
        <w:t xml:space="preserve">-judge ensemble's rank-agreement with the full-panel</w:t>
      </w:r>
      <w:r>
        <w:t xml:space="preserve"> </w:t>
      </w:r>
      <w:r>
        <w:t xml:space="preserve">consensus rises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(Spearman</w:t>
      </w:r>
      <w:r>
        <w:t xml:space="preserve"> </w:t>
      </w:r>
      <m:oMath>
        <m:r>
          <m:t>ρ</m:t>
        </m:r>
      </m:oMath>
      <w:r>
        <w:t xml:space="preserve">:</w:t>
      </w:r>
      <w:r>
        <w:t xml:space="preserve"> </w:t>
      </w:r>
      <m:oMath>
        <m:r>
          <m:t>0.67</m:t>
        </m:r>
        <m:r>
          <m:rPr>
            <m:sty m:val="p"/>
          </m:rPr>
          <m:t>,</m:t>
        </m:r>
        <m:r>
          <m:t>0.74</m:t>
        </m:r>
        <m:r>
          <m:rPr>
            <m:sty m:val="p"/>
          </m:rPr>
          <m:t>,</m:t>
        </m:r>
        <m:r>
          <m:t>0.93</m:t>
        </m:r>
        <m:r>
          <m:rPr>
            <m:sty m:val="p"/>
          </m:rPr>
          <m:t>,</m:t>
        </m:r>
        <m:r>
          <m:t>1.00</m:t>
        </m:r>
      </m:oMath>
      <w:r>
        <w:t xml:space="preserve">): a small selected panel already recovers most of</w:t>
      </w:r>
      <w:r>
        <w:t xml:space="preserve"> </w:t>
      </w:r>
      <w:r>
        <w:t xml:space="preserve">the full-panel ordering.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815840" cy="3169920"/>
            <wp:effectExtent b="0" l="0" r="0" t="0"/>
            <wp:docPr descr="ICC(3,k) versus number of judges, peaking at the selected strong panel" title="" id="26" name="Picture"/>
            <a:graphic>
              <a:graphicData uri="http://schemas.openxmlformats.org/drawingml/2006/picture">
                <pic:pic>
                  <pic:nvPicPr>
                    <pic:cNvPr descr="figures/f2_icc_curv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Composition over size. Average-measures reliability ICC(3, k) as judges are added in descending agreement order. A selected strong panel reaches ICC = 0.70; indiscriminately adding low-agreement judges lowers the mean inter-rater correlation faster than averaging compensates, so reliability falls. CoEval's consensus selection retains the high-agreement judges, delivering the reliable configuration automatically.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Composition matters because the</w:t>
      </w:r>
      <w:r>
        <w:t xml:space="preserve"> </w:t>
      </w:r>
      <w:r>
        <w:rPr>
          <w:i/>
          <w:iCs/>
        </w:rPr>
        <w:t xml:space="preserve">wrong single judge can actively mislead</w:t>
      </w:r>
      <w:r>
        <w:t xml:space="preserve">, and which judge is wrong is not</w:t>
      </w:r>
      <w:r>
        <w:t xml:space="preserve"> </w:t>
      </w:r>
      <w:r>
        <w:t xml:space="preserve">knowable a priori without the labels CoEval assumes are absent. Across the benchmark-grounded set of Section 5.1</w:t>
      </w:r>
      <w:r>
        <w:t xml:space="preserve"> </w:t>
      </w:r>
      <w:r>
        <w:t xml:space="preserve">(three tasks,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pooled), the four candidate judges span a correlation range from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gpt-3.5-turbo</w:t>
      </w:r>
      <w:r>
        <w:t xml:space="preserve">, anti-correlated) through</w:t>
      </w:r>
      <w:r>
        <w:t xml:space="preserve"> </w:t>
      </w:r>
      <m:oMath>
        <m:r>
          <m:t>0.17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gemini-flash</w:t>
      </w:r>
      <w:r>
        <w:t xml:space="preserve">) and</w:t>
      </w:r>
      <w:r>
        <w:t xml:space="preserve"> </w:t>
      </w:r>
      <m:oMath>
        <m:r>
          <m:t>0.24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gpt-4o-mini</w:t>
      </w:r>
      <w:r>
        <w:t xml:space="preserve">) to</w:t>
      </w:r>
      <w:r>
        <w:t xml:space="preserve"> </w:t>
      </w:r>
      <m:oMath>
        <m:r>
          <m:t>0.31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claude-haiku</w:t>
      </w:r>
      <w:r>
        <w:t xml:space="preserve">): a</w:t>
      </w:r>
      <w:r>
        <w:t xml:space="preserve"> </w:t>
      </w:r>
      <w:r>
        <w:rPr>
          <w:b/>
          <w:bCs/>
        </w:rPr>
        <w:t xml:space="preserve">judge-choice regret of</w:t>
      </w:r>
      <w:r>
        <w:rPr>
          <w:b/>
          <w:bCs/>
        </w:rPr>
        <w:t xml:space="preserve"> </w:t>
      </w:r>
      <m:oMath>
        <m:r>
          <m:t>0.35</m:t>
        </m:r>
      </m:oMath>
      <w:r>
        <w:t xml:space="preserve"> </w:t>
      </w:r>
      <w:r>
        <w:t xml:space="preserve">between the best and worst single judge. The best judge is moreover task-dependent (</w:t>
      </w:r>
      <w:r>
        <w:rPr>
          <w:rStyle w:val="VerbatimChar"/>
        </w:rPr>
        <w:t xml:space="preserve">claude-haiku</w:t>
      </w:r>
      <w:r>
        <w:t xml:space="preserve"> </w:t>
      </w:r>
      <w:r>
        <w:t xml:space="preserve">here,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on the summarization subset of Section 5.1), so a practitioner committing to one judge in</w:t>
      </w:r>
      <w:r>
        <w:t xml:space="preserve"> </w:t>
      </w:r>
      <w:r>
        <w:t xml:space="preserve">advance risks the anti-correlated one. The cross-family ensemble is the low-regret default: its plain mean correlates</w:t>
      </w:r>
      <w:r>
        <w:t xml:space="preserve"> </w:t>
      </w:r>
      <w:r>
        <w:t xml:space="preserve">at</w:t>
      </w:r>
      <w:r>
        <w:t xml:space="preserve"> </w:t>
      </w:r>
      <m:oMath>
        <m:r>
          <m:t>0.238</m:t>
        </m:r>
      </m:oMath>
      <w:r>
        <w:t xml:space="preserve"> </w:t>
      </w:r>
      <w:r>
        <w:t xml:space="preserve">and, unlike a single pick, is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anti-correlated.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Given the panel, the choice of aggregator is itself a lever, and the unsupervised reliability-weighted aggregator of</w:t>
      </w:r>
      <w:r>
        <w:t xml:space="preserve"> </w:t>
      </w:r>
      <w:r>
        <w:t xml:space="preserve">Section 3.3 is the best label-free option we test. Weighting each judge by its agreement with the rest of the</w:t>
      </w:r>
      <w:r>
        <w:t xml:space="preserve"> </w:t>
      </w:r>
      <w:r>
        <w:t xml:space="preserve">panel assigns the anti-correlated</w:t>
      </w:r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the lowest weight (</w:t>
      </w:r>
      <m:oMath>
        <m:r>
          <m:t>0.18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0.27</m:t>
        </m:r>
      </m:oMath>
      <w:r>
        <w:t xml:space="preserve">–</w:t>
      </w:r>
      <m:oMath>
        <m:r>
          <m:t>0.29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the others) and lifts the aggregate correlation from the plain mean's</w:t>
      </w:r>
      <w:r>
        <w:t xml:space="preserve"> </w:t>
      </w:r>
      <m:oMath>
        <m:r>
          <m:t>0.238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0.246</m:t>
        </m:r>
      </m:oMath>
      <w:r>
        <w:t xml:space="preserve">. The</w:t>
      </w:r>
      <w:r>
        <w:t xml:space="preserve"> </w:t>
      </w:r>
      <w:r>
        <w:t xml:space="preserve">alternatives are worse: median and trimmed-mean aggregation, which discard rather than re-weight information, reach</w:t>
      </w:r>
      <w:r>
        <w:t xml:space="preserve"> </w:t>
      </w:r>
      <w:r>
        <w:t xml:space="preserve">only</w:t>
      </w:r>
      <w:r>
        <w:t xml:space="preserve"> </w:t>
      </w:r>
      <m:oMath>
        <m:r>
          <m:t>0.222</m:t>
        </m:r>
      </m:oMath>
      <w:r>
        <w:t xml:space="preserve">, and a Dawid–Skene latent-truth model [</w:t>
      </w:r>
      <w:hyperlink w:anchor="r33">
        <w:r>
          <w:rPr>
            <w:rStyle w:val="Hyperlink"/>
          </w:rPr>
          <w:t xml:space="preserve">33</w:t>
        </w:r>
      </w:hyperlink>
      <w:r>
        <w:t xml:space="preserve">] over discretized scores reaches</w:t>
      </w:r>
      <w:r>
        <w:t xml:space="preserve"> </w:t>
      </w:r>
      <m:oMath>
        <m:r>
          <m:t>0.178</m:t>
        </m:r>
      </m:oMath>
      <w:r>
        <w:t xml:space="preserve">. Reliability weighting</w:t>
      </w:r>
      <w:r>
        <w:t xml:space="preserve"> </w:t>
      </w:r>
      <w:r>
        <w:t xml:space="preserve">thus turns the panel's own internal agreement, the one signal available without labels, into the strongest aggregate,</w:t>
      </w:r>
      <w:r>
        <w:t xml:space="preserve"> </w:t>
      </w:r>
      <w:r>
        <w:t xml:space="preserve">while never selecting the anti-correlated judge.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Aggregation does more than average: it lets the evaluator</w:t>
      </w:r>
      <w:r>
        <w:t xml:space="preserve"> </w:t>
      </w:r>
      <w:r>
        <w:rPr>
          <w:i/>
          <w:iCs/>
        </w:rPr>
        <w:t xml:space="preserve">audit its own judges</w:t>
      </w:r>
      <w:r>
        <w:t xml:space="preserve"> </w:t>
      </w:r>
      <w:r>
        <w:t xml:space="preserve">with no labels. A judge's mean</w:t>
      </w:r>
      <w:r>
        <w:t xml:space="preserve"> </w:t>
      </w:r>
      <w:r>
        <w:t xml:space="preserve">agreement with the rest of the panel is an unsupervised reliability signal, and it cleanly separates competent judges</w:t>
      </w:r>
      <w:r>
        <w:t xml:space="preserve"> </w:t>
      </w:r>
      <w:r>
        <w:t xml:space="preserve">from broken ones. We stress-test this by adding three deliberately broken judges to the four-judge panel, one returning</w:t>
      </w:r>
      <w:r>
        <w:t xml:space="preserve"> </w:t>
      </w:r>
      <w:r>
        <w:t xml:space="preserve">uniform-random scores, one a constant score, and one anti-correlated with quality. All three fall to the bottom of the</w:t>
      </w:r>
      <w:r>
        <w:t xml:space="preserve"> </w:t>
      </w:r>
      <w:r>
        <w:t xml:space="preserve">agreement ranking (mean agreement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for the competent judges), and their effect on a naive</w:t>
      </w:r>
      <w:r>
        <w:t xml:space="preserve"> </w:t>
      </w:r>
      <w:r>
        <w:t xml:space="preserve">average is large: the plain-mean correlation with ground truth drops from</w:t>
      </w:r>
      <w:r>
        <w:t xml:space="preserve"> </w:t>
      </w:r>
      <m:oMath>
        <m:r>
          <m:t>0.238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0.126</m:t>
        </m:r>
      </m:oMath>
      <w:r>
        <w:t xml:space="preserve"> </w:t>
      </w:r>
      <w:r>
        <w:t xml:space="preserve">once they are included.</w:t>
      </w:r>
      <w:r>
        <w:t xml:space="preserve"> </w:t>
      </w:r>
      <w:r>
        <w:t xml:space="preserve">Reliability weighting, using only peer agreement, assigns each broken judge a weight of essentially zero and recovers</w:t>
      </w:r>
      <w:r>
        <w:t xml:space="preserve"> </w:t>
      </w:r>
      <w:r>
        <w:t xml:space="preserve">the clean-panel accuracy (</w:t>
      </w:r>
      <m:oMath>
        <m:r>
          <m:t>0.228</m:t>
        </m:r>
      </m:oMath>
      <w:r>
        <w:t xml:space="preserve">). A single judge offers no such safeguard, because there is nothing to check it</w:t>
      </w:r>
      <w:r>
        <w:t xml:space="preserve"> </w:t>
      </w:r>
      <w:r>
        <w:t xml:space="preserve">against: the panel turns the absence of labels from a liability into a design that validates itself.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self-correction has a precise boundary, and the boundary is exactly the cross-family design. It tolerates any</w:t>
      </w:r>
      <w:r>
        <w:t xml:space="preserve"> </w:t>
      </w:r>
      <w:r>
        <w:t xml:space="preserve">number of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broken judges: adding six uniform-random judges to the four-judge panel leaves the</w:t>
      </w:r>
      <w:r>
        <w:t xml:space="preserve"> </w:t>
      </w:r>
      <w:r>
        <w:t xml:space="preserve">reliability-weighted accuracy at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while the plain mean falls to</w:t>
      </w:r>
      <w:r>
        <w:t xml:space="preserve"> </w:t>
      </w:r>
      <m:oMath>
        <m:r>
          <m:t>0.16</m:t>
        </m:r>
      </m:oMath>
      <w:r>
        <w:t xml:space="preserve">, because independent noise never forms a</w:t>
      </w:r>
      <w:r>
        <w:t xml:space="preserve"> </w:t>
      </w:r>
      <w:r>
        <w:t xml:space="preserve">consensus to agree with. It fails only when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coalition of bad judges, all sharing one</w:t>
      </w:r>
      <w:r>
        <w:t xml:space="preserve"> </w:t>
      </w:r>
      <w:r>
        <w:t xml:space="preserve">systematic error,</w:t>
      </w:r>
      <w:r>
        <w:t xml:space="preserve"> </w:t>
      </w:r>
      <w:r>
        <w:rPr>
          <w:i/>
          <w:iCs/>
        </w:rPr>
        <w:t xml:space="preserve">outnumbers</w:t>
      </w:r>
      <w:r>
        <w:t xml:space="preserve"> </w:t>
      </w:r>
      <w:r>
        <w:t xml:space="preserve">the competent judges: once five such judges face four good ones the coalition</w:t>
      </w:r>
      <w:r>
        <w:t xml:space="preserve"> </w:t>
      </w:r>
      <w:r>
        <w:t xml:space="preserve">becomes the apparent consensus, takes all the weight, and the recovered ranking inverts. Peer-agreement weighting is</w:t>
      </w:r>
      <w:r>
        <w:t xml:space="preserve"> </w:t>
      </w:r>
      <w:r>
        <w:t xml:space="preserve">therefore only as safe as the independence of judge errors, and</w:t>
      </w:r>
      <w:r>
        <w:t xml:space="preserve"> </w:t>
      </w:r>
      <w:r>
        <w:rPr>
          <w:i/>
          <w:iCs/>
        </w:rPr>
        <w:t xml:space="preserve">vendor diversity is what supplies that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independence</w:t>
      </w:r>
      <w:r>
        <w:t xml:space="preserve">: judges from distinct model families are unlikely to share a bias coalition. The robustness of the</w:t>
      </w:r>
      <w:r>
        <w:t xml:space="preserve"> </w:t>
      </w:r>
      <w:r>
        <w:t xml:space="preserve">aggregator and the cross-family composition principle are two sides of one design.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panel's two label-free quality signals, item discriminative power and judge agreement, compose into the</w:t>
      </w:r>
      <w:r>
        <w:t xml:space="preserve"> </w:t>
      </w:r>
      <w:r>
        <w:rPr>
          <w:i/>
          <w:iCs/>
        </w:rPr>
        <w:t xml:space="preserve">doubly-robust ranking</w:t>
      </w:r>
      <w:r>
        <w:t xml:space="preserve"> </w:t>
      </w:r>
      <w:r>
        <w:t xml:space="preserve">of Section 3.3, which leans on the items that separate models (Section 5.4)</w:t>
      </w:r>
      <w:r>
        <w:t xml:space="preserve"> </w:t>
      </w:r>
      <w:r>
        <w:t xml:space="preserve">and the judges that agree with the panel. On a benchmark-grounded check where gold accuracy is available (thirteen</w:t>
      </w:r>
      <w:r>
        <w:t xml:space="preserve"> </w:t>
      </w:r>
      <w:r>
        <w:t xml:space="preserve">models ranked on science QA and reasoning, spanning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 </w:t>
      </w:r>
      <w:r>
        <w:t xml:space="preserve">down to</w:t>
      </w:r>
      <w:r>
        <w:t xml:space="preserve"> </w:t>
      </w:r>
      <w:r>
        <w:rPr>
          <w:rStyle w:val="VerbatimChar"/>
        </w:rPr>
        <w:t xml:space="preserve">llama-3.2-1b</w:t>
      </w:r>
      <w:r>
        <w:t xml:space="preserve">), it improves</w:t>
      </w:r>
      <w:r>
        <w:t xml:space="preserve"> </w:t>
      </w:r>
      <w:r>
        <w:t xml:space="preserve">rank-recovery of the true model ordering from the plain mean's Spearman</w:t>
      </w:r>
      <w:r>
        <w:t xml:space="preserve"> </w:t>
      </w:r>
      <m:oMath>
        <m:r>
          <m:t>0.88</m:t>
        </m:r>
      </m:oMath>
      <w:r>
        <w:t xml:space="preserve"> </w:t>
      </w:r>
      <w:r>
        <w:t xml:space="preserve">(Kendall</w:t>
      </w:r>
      <w:r>
        <w:t xml:space="preserve"> </w:t>
      </w:r>
      <m:oMath>
        <m:r>
          <m:t>0.76</m:t>
        </m:r>
      </m:oMath>
      <w:r>
        <w:t xml:space="preserve">) to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(Kendall</w:t>
      </w:r>
      <w:r>
        <w:t xml:space="preserve"> </w:t>
      </w:r>
      <m:oMath>
        <m:r>
          <m:t>0.87</m:t>
        </m:r>
      </m:oMath>
      <w:r>
        <w:t xml:space="preserve">), by down-weighting saturated items that carry no ranking signal (nearly half</w:t>
      </w:r>
      <w:r>
        <w:t xml:space="preserve"> </w:t>
      </w:r>
      <w:r>
        <w:t xml:space="preserve">the items hold near-zero weight) and judges that disagree with the panel. The two signals are complementary, each</w:t>
      </w:r>
      <w:r>
        <w:t xml:space="preserve"> </w:t>
      </w:r>
      <w:r>
        <w:t xml:space="preserve">helping on its own (item-weighting alone</w:t>
      </w:r>
      <w:r>
        <w:t xml:space="preserve"> </w:t>
      </w:r>
      <m:oMath>
        <m:r>
          <m:t>0.94</m:t>
        </m:r>
      </m:oMath>
      <w:r>
        <w:t xml:space="preserve">, judge-weighting alone</w:t>
      </w:r>
      <w:r>
        <w:t xml:space="preserve"> </w:t>
      </w:r>
      <m:oMath>
        <m:r>
          <m:t>0.92</m:t>
        </m:r>
      </m:oMath>
      <w:r>
        <w:t xml:space="preserve">) and most on the discriminative items</w:t>
      </w:r>
      <w:r>
        <w:t xml:space="preserve"> </w:t>
      </w:r>
      <w:r>
        <w:t xml:space="preserve">where judge reliability matters. The aggregator is robust: injecting a random judge degrades the plain mean to</w:t>
      </w:r>
      <w:r>
        <w:t xml:space="preserve"> </w:t>
      </w:r>
      <m:oMath>
        <m:r>
          <m:t>0.85</m:t>
        </m:r>
      </m:oMath>
      <w:r>
        <w:t xml:space="preserve"> </w:t>
      </w:r>
      <w:r>
        <w:t xml:space="preserve">but leaves the doubly-robust ranking at</w:t>
      </w:r>
      <w:r>
        <w:t xml:space="preserve"> </w:t>
      </w:r>
      <m:oMath>
        <m:r>
          <m:t>0.95</m:t>
        </m:r>
      </m:oMath>
      <w:r>
        <w:t xml:space="preserve">, with the rogue judge receiving weight</w:t>
      </w:r>
      <w:r>
        <w:t xml:space="preserve"> </w:t>
      </w:r>
      <m:oMath>
        <m:r>
          <m:t>0.00</m:t>
        </m:r>
      </m:oMath>
      <w:r>
        <w:t xml:space="preserve">. Compared against standard</w:t>
      </w:r>
      <w:r>
        <w:t xml:space="preserve"> </w:t>
      </w:r>
      <w:r>
        <w:t xml:space="preserve">baselines on the same scores (Table 3), the doubly-robust ranking matches or beats the best single judge (an</w:t>
      </w:r>
      <w:r>
        <w:t xml:space="preserve"> </w:t>
      </w:r>
      <w:r>
        <w:t xml:space="preserve">oracle, since which judge is best is not knowable without labels), the unweighted panel (PoLL), and the median; its</w:t>
      </w:r>
      <w:r>
        <w:t xml:space="preserve"> </w:t>
      </w:r>
      <w:r>
        <w:t xml:space="preserve">decisive advantage is robustness to a contaminated judge pool: adding rogue judges steadily degrades the unweighted</w:t>
      </w:r>
      <w:r>
        <w:t xml:space="preserve"> </w:t>
      </w:r>
      <w:r>
        <w:t xml:space="preserve">mean (0.88, 0.85, 0.64) and even the median (0.94, 0.91, 0.71) at zero, one, and three rogue judges, while the</w:t>
      </w:r>
      <w:r>
        <w:t xml:space="preserve"> </w:t>
      </w:r>
      <w:r>
        <w:t xml:space="preserve">doubly-robust ranking is invariant to a minority rogue (0.95) and still leads at rogue parity (0.79).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Rank-recovery on thirteen candidate models (science QA and reasoning; gold = benchmark-native accuracy), comparing standard label-free baselines (best single judge, unweighted panel / PoLL, median) against the CoEval weights. Each CoEval weight helps on its own, and the two compose into the best recovery; the aggregator alone is robust to an injected random judge, which it gives weight 0.00. Values are the Spearman and Kendall correlations between the recovered ranking and the gold-accuracy ranking.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Rank-recovery on thirteen candidate models (science QA and reasoning; gold = benchmark-native accuracy), comparing standard label-free baselines (best single judge, unweighted panel / PoLL, median) against the CoEval weights. Each CoEval weight helps on its own, and the two compose into the best recovery; the aggregator alone is robust to an injected random judge, which it gives weight 0.00. Values are the Spearman and Kendall correlations between the recovered ranking and the gold-accuracy rank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Aggregator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Spearman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Kendall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Best single judge (oracle)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Panel mean (PoLL)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Panel median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Item-weighted (discrimination)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Judge-weighted (agreement)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Doubly-robust (both)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  with injected random judge: panel mean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  with injected random judge: doubly-robust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ensemble also cancels</w:t>
      </w:r>
      <w:r>
        <w:t xml:space="preserve"> </w:t>
      </w:r>
      <w:r>
        <w:rPr>
          <w:i/>
          <w:iCs/>
        </w:rPr>
        <w:t xml:space="preserve">verbosity bias</w:t>
      </w:r>
      <w:r>
        <w:t xml:space="preserve"> </w:t>
      </w:r>
      <w:r>
        <w:t xml:space="preserve">(mixed-sign per-judge length biases average to a</w:t>
      </w:r>
      <w:r>
        <w:t xml:space="preserve"> </w:t>
      </w:r>
      <w:r>
        <w:t xml:space="preserve">near-zero ensemble correlation) and, by vendor-disjoint construction, precludes same-family</w:t>
      </w:r>
      <w:r>
        <w:t xml:space="preserve"> </w:t>
      </w:r>
      <w:r>
        <w:rPr>
          <w:i/>
          <w:iCs/>
        </w:rPr>
        <w:t xml:space="preserve">self-preference</w:t>
      </w:r>
      <w:r>
        <w:t xml:space="preserve">; Appendix E reports both, including the residual-bias measurements.</w:t>
      </w:r>
    </w:p>
    <w:bookmarkEnd w:id="28"/>
    <w:bookmarkStart w:id="29" w:name="contamination-resistance"/>
    <w:p>
      <w:pPr>
        <w:pStyle w:val="Heading3"/>
        <w:keepNext/>
        <w:keepLines/>
        <w:widowControl w:val="1"/>
      </w:pPr>
      <w:r>
        <w:t xml:space="preserve">5.3 Contamination resistance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test the contamination-resistance claim empirically. We take the 400 CoEval-generated items from the</w:t>
      </w:r>
      <w:r>
        <w:t xml:space="preserve"> </w:t>
      </w:r>
      <w:r>
        <w:rPr>
          <w:rStyle w:val="VerbatimChar"/>
        </w:rPr>
        <w:t xml:space="preserve">medium-benchmark</w:t>
      </w:r>
      <w:r>
        <w:t xml:space="preserve"> </w:t>
      </w:r>
      <w:r>
        <w:t xml:space="preserve">study and measure their verbatim 13-gram overlap against a corpus of 491 items drawn</w:t>
      </w:r>
      <w:r>
        <w:t xml:space="preserve"> </w:t>
      </w:r>
      <w:r>
        <w:t xml:space="preserve">from five widely used public benchmarks (XSum, CNN/DailyMail, CodeSearchNet, SciQ, ARC-Challenge), datasets that</w:t>
      </w:r>
      <w:r>
        <w:t xml:space="preserve"> </w:t>
      </w:r>
      <w:r>
        <w:t xml:space="preserve">are, by virtue of their age and popularity, present in the pretraining corpora of current models. Across</w:t>
      </w:r>
      <w:r>
        <w:t xml:space="preserve"> </w:t>
      </w:r>
      <m:oMath>
        <m:r>
          <m:t>110</m:t>
        </m:r>
        <m:r>
          <m:rPr>
            <m:sty m:val="p"/>
          </m:rPr>
          <m:t>,</m:t>
        </m:r>
        <m:r>
          <m:t>784</m:t>
        </m:r>
      </m:oMath>
      <w:r>
        <w:t xml:space="preserve"> </w:t>
      </w:r>
      <w:r>
        <w:t xml:space="preserve">distinct public 13-grams,</w:t>
      </w:r>
      <w:r>
        <w:t xml:space="preserve"> </w:t>
      </w:r>
      <w:r>
        <w:rPr>
          <w:b/>
          <w:bCs/>
        </w:rPr>
        <w:t xml:space="preserve">not a single CoEval-generated item shares any 13-gram</w:t>
      </w:r>
      <w:r>
        <w:t xml:space="preserve"> </w:t>
      </w:r>
      <w:r>
        <w:t xml:space="preserve">with the</w:t>
      </w:r>
      <w:r>
        <w:t xml:space="preserve"> </w:t>
      </w:r>
      <w:r>
        <w:t xml:space="preserve">public corpus: mean and maximum overlap are both</w:t>
      </w:r>
      <w:r>
        <w:t xml:space="preserve"> </w:t>
      </w:r>
      <m:oMath>
        <m:r>
          <m:t>0.0000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of generated items share any 13-gram. This</w:t>
      </w:r>
      <w:r>
        <w:t xml:space="preserve"> </w:t>
      </w:r>
      <w:r>
        <w:t xml:space="preserve">verbatim non-duplication</w:t>
      </w:r>
      <w:r>
        <w:t xml:space="preserve"> </w:t>
      </w:r>
      <w:r>
        <w:rPr>
          <w:i/>
          <w:iCs/>
        </w:rPr>
        <w:t xml:space="preserve">corroborates</w:t>
      </w:r>
      <w:r>
        <w:t xml:space="preserve"> </w:t>
      </w:r>
      <w:r>
        <w:t xml:space="preserve">the structural guarantee: because items are synthesized fresh from the</w:t>
      </w:r>
      <w:r>
        <w:t xml:space="preserve"> </w:t>
      </w:r>
      <w:r>
        <w:t xml:space="preserve">attribute specification on each run, they cannot have appeared in any model's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training, and a model</w:t>
      </w:r>
      <w:r>
        <w:t xml:space="preserve"> </w:t>
      </w:r>
      <w:r>
        <w:t xml:space="preserve">cannot retrieve them from a leaked copy of these widely-used benchmarks. (The scope from Section 5.1 holds: this</w:t>
      </w:r>
      <w:r>
        <w:t xml:space="preserve"> </w:t>
      </w:r>
      <w:r>
        <w:t xml:space="preserve">applies to CoEval's generated items; the benchmark-grounded anchor of Section 5.1 deliberately reuses public items</w:t>
      </w:r>
      <w:r>
        <w:t xml:space="preserve"> </w:t>
      </w:r>
      <w:r>
        <w:t xml:space="preserve">to obtain objective ground truth.)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Non-duplication shows the items are fresh; a controlled study shows why that matters. We fine-tune a small open model</w:t>
      </w:r>
      <w:r>
        <w:t xml:space="preserve"> </w:t>
      </w:r>
      <w:r>
        <w:t xml:space="preserve">(Qwen2.5-0.5B) to memorize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public SciQ items, turning that public set into a contaminated benchmark, and compare</w:t>
      </w:r>
      <w:r>
        <w:t xml:space="preserve"> </w:t>
      </w:r>
      <w:r>
        <w:t xml:space="preserve">it against a clean frontier model (</w:t>
      </w:r>
      <w:r>
        <w:rPr>
          <w:rStyle w:val="VerbatimChar"/>
        </w:rPr>
        <w:t xml:space="preserve">gpt-4o-mini</w:t>
      </w:r>
      <w:r>
        <w:t xml:space="preserve">) on both the memorized set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fresh held-out items</w:t>
      </w:r>
      <w:r>
        <w:t xml:space="preserve"> </w:t>
      </w:r>
      <w:r>
        <w:t xml:space="preserve">of the same capability. On the contaminated benchmark the memorizer scores a perfect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and is ranked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(</w:t>
      </w:r>
      <m:oMath>
        <m:r>
          <m:t>0.845</m:t>
        </m:r>
      </m:oMath>
      <w:r>
        <w:t xml:space="preserve">); on the fresh items the order is correct, with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(</w:t>
      </w:r>
      <m:oMath>
        <m:r>
          <m:t>0.81</m:t>
        </m:r>
      </m:oMath>
      <w:r>
        <w:t xml:space="preserve">) above the memorizer (</w:t>
      </w:r>
      <m:oMath>
        <m:r>
          <m:t>0.74</m:t>
        </m:r>
      </m:oMath>
      <w:r>
        <w:t xml:space="preserve">, its fresh-measured capability). The</w:t>
      </w:r>
      <w:r>
        <w:t xml:space="preserve"> </w:t>
      </w:r>
      <w:r>
        <w:t xml:space="preserve">memorized-minus-fresh gap isolates memorization from any skill the fine-tuning also imparted: the clean base model's</w:t>
      </w:r>
      <w:r>
        <w:t xml:space="preserve"> </w:t>
      </w:r>
      <w:r>
        <w:t xml:space="preserve">gap is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0.625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0.53</m:t>
        </m:r>
      </m:oMath>
      <w:r>
        <w:t xml:space="preserve">) while the contaminated model's is</w:t>
      </w:r>
      <w:r>
        <w:t xml:space="preserve"> </w:t>
      </w:r>
      <m:oMath>
        <m:r>
          <m:t>0.26</m:t>
        </m:r>
      </m:oMath>
      <w:r>
        <w:t xml:space="preserve"> </w:t>
      </w:r>
      <w:r>
        <w:t xml:space="preserve">(</w:t>
      </w:r>
      <m:oMath>
        <m:r>
          <m:t>1.00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0.74</m:t>
        </m:r>
      </m:oMath>
      <w:r>
        <w:t xml:space="preserve">), so</w:t>
      </w:r>
      <w:r>
        <w:t xml:space="preserve"> </w:t>
      </w:r>
      <m:oMath>
        <m:r>
          <m:t>0.16</m:t>
        </m:r>
      </m:oMath>
      <w:r>
        <w:t xml:space="preserve"> </w:t>
      </w:r>
      <w:r>
        <w:t xml:space="preserve">of its</w:t>
      </w:r>
      <w:r>
        <w:t xml:space="preserve"> </w:t>
      </w:r>
      <w:r>
        <w:t xml:space="preserve">apparent edge on the static benchmark is pure memorization that fresh items strip away. A static, possibly-contaminated</w:t>
      </w:r>
      <w:r>
        <w:t xml:space="preserve"> </w:t>
      </w:r>
      <w:r>
        <w:t xml:space="preserve">leaderboard thus ranks a</w:t>
      </w:r>
      <w:r>
        <w:t xml:space="preserve"> </w:t>
      </w:r>
      <m:oMath>
        <m:r>
          <m:t>0.5</m:t>
        </m:r>
      </m:oMath>
      <w:r>
        <w:t xml:space="preserve">B memorizer ahead of a frontier model, an inversion that CoEval's freshly-generated</w:t>
      </w:r>
      <w:r>
        <w:t xml:space="preserve"> </w:t>
      </w:r>
      <w:r>
        <w:t xml:space="preserve">items remove because no candidate can have trained on items synthesized after the fact.</w:t>
      </w:r>
    </w:p>
    <w:bookmarkEnd w:id="29"/>
    <w:bookmarkStart w:id="30" w:name="putting-it-together-domain-case-studies"/>
    <w:p>
      <w:pPr>
        <w:pStyle w:val="Heading3"/>
        <w:keepNext/>
        <w:keepLines/>
        <w:widowControl w:val="1"/>
      </w:pPr>
      <w:r>
        <w:t xml:space="preserve">5.4 Putting it together: domain case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complete tool in its intended regime on three custom verticals,</w:t>
      </w:r>
      <w:r>
        <w:t xml:space="preserve"> </w:t>
      </w:r>
      <w:r>
        <w:rPr>
          <w:i/>
          <w:iCs/>
        </w:rPr>
        <w:t xml:space="preserve">drug–drug interaction reasoning</w:t>
      </w:r>
      <w:r>
        <w:t xml:space="preserve">,</w:t>
      </w:r>
      <w:r>
        <w:t xml:space="preserve"> </w:t>
      </w:r>
      <w:r>
        <w:rPr>
          <w:i/>
          <w:iCs/>
        </w:rPr>
        <w:t xml:space="preserve">clinical reasoning</w:t>
      </w:r>
      <w:r>
        <w:t xml:space="preserve">, and</w:t>
      </w:r>
      <w:r>
        <w:t xml:space="preserve"> </w:t>
      </w:r>
      <w:r>
        <w:rPr>
          <w:i/>
          <w:iCs/>
        </w:rPr>
        <w:t xml:space="preserve">legal analysis</w:t>
      </w:r>
      <w:r>
        <w:t xml:space="preserve">, for</w:t>
      </w:r>
      <w:r>
        <w:t xml:space="preserve"> </w:t>
      </w:r>
      <w:r>
        <w:t xml:space="preserve">which we assume no task-specific labeled data and no trustworthy public benchmark. From a one-line description</w:t>
      </w:r>
      <w:r>
        <w:t xml:space="preserve"> </w:t>
      </w:r>
      <w:r>
        <w:t xml:space="preserve">each, CoEval generated 40 attribute-stratified items per vertical, three candidates answered, and the</w:t>
      </w:r>
      <w:r>
        <w:t xml:space="preserve"> </w:t>
      </w:r>
      <w:r>
        <w:t xml:space="preserve">cross-family panel scored every response, from one configuration file with no human labels. The panel produces</w:t>
      </w:r>
      <w:r>
        <w:t xml:space="preserve"> </w:t>
      </w:r>
      <w:r>
        <w:t xml:space="preserve">defensible rankings, a fully unanimous order on drug-interaction (</w:t>
      </w:r>
      <w:r>
        <w:rPr>
          <w:rStyle w:val="VerbatimChar"/>
        </w:rPr>
        <w:t xml:space="preserve">gpt-4o-mini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llama-3.2-3b</w:t>
      </w:r>
      <w:r>
        <w:t xml:space="preserve">, non-overlapping CIs) and consistent rankings on clinical</w:t>
      </w:r>
      <w:r>
        <w:t xml:space="preserve"> </w:t>
      </w:r>
      <w:r>
        <w:t xml:space="preserve">and legal, with</w:t>
      </w:r>
      <w:r>
        <w:t xml:space="preserve"> </w:t>
      </w:r>
      <m:oMath>
        <m:r>
          <m:t>71</m:t>
        </m:r>
        <m:r>
          <m:rPr>
            <m:sty m:val="p"/>
          </m:rPr>
          <m:t>%</m:t>
        </m:r>
      </m:oMath>
      <w:r>
        <w:t xml:space="preserve"> </w:t>
      </w:r>
      <w:r>
        <w:t xml:space="preserve">of generated items discriminative. Appendix G reports the full results</w:t>
      </w:r>
      <w:r>
        <w:t xml:space="preserve"> </w:t>
      </w:r>
      <w:r>
        <w:t xml:space="preserve">(Table G1) and Appendix C the generated artifacts.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Rankings are also</w:t>
      </w:r>
      <w:r>
        <w:t xml:space="preserve"> </w:t>
      </w:r>
      <w:r>
        <w:rPr>
          <w:i/>
          <w:iCs/>
        </w:rPr>
        <w:t xml:space="preserve">domain-specific</w:t>
      </w:r>
      <w:r>
        <w:t xml:space="preserve">: across four de-novo domains three different models take first place,</w:t>
      </w:r>
      <w:r>
        <w:t xml:space="preserve"> </w:t>
      </w:r>
      <w:r>
        <w:t xml:space="preserve">so a generic leaderboard misdirects most practitioners. Appendix D details this divergence (Table D1).</w:t>
      </w:r>
    </w:p>
    <w:bookmarkEnd w:id="30"/>
    <w:bookmarkEnd w:id="31"/>
    <w:bookmarkStart w:id="32" w:name="discussion"/>
    <w:p>
      <w:pPr>
        <w:pStyle w:val="Heading2"/>
        <w:keepNext/>
        <w:keepLines/>
        <w:widowControl w:val="1"/>
      </w:pPr>
      <w:r>
        <w:t xml:space="preserve">6. Discussion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is designed for a common predicament: ranking models for a task or domain when no labeled data exists and public</w:t>
      </w:r>
      <w:r>
        <w:t xml:space="preserve"> </w:t>
      </w:r>
      <w:r>
        <w:t xml:space="preserve">benchmarks cannot be trusted. The results show it meets that need, its label-free scores reproduce the true ranking,</w:t>
      </w:r>
      <w:r>
        <w:t xml:space="preserve"> </w:t>
      </w:r>
      <w:r>
        <w:t xml:space="preserve">track ground truth, and agree with human judgments (Section 5.1), and its items are verifiably fresh. The key</w:t>
      </w:r>
      <w:r>
        <w:t xml:space="preserve"> </w:t>
      </w:r>
      <w:r>
        <w:t xml:space="preserve">enabler is itself a contribution: the reliability of an LLM-judge panel is governed by its</w:t>
      </w:r>
      <w:r>
        <w:t xml:space="preserve"> </w:t>
      </w:r>
      <w:r>
        <w:rPr>
          <w:i/>
          <w:iCs/>
        </w:rPr>
        <w:t xml:space="preserve">composition</w:t>
      </w:r>
      <w:r>
        <w:t xml:space="preserve">, not its</w:t>
      </w:r>
      <w:r>
        <w:t xml:space="preserve"> </w:t>
      </w:r>
      <w:r>
        <w:t xml:space="preserve">size. A cross-family panel cancels the mixed-sign biases (verbosity, self-preference) any individual judge carries,</w:t>
      </w:r>
      <w:r>
        <w:t xml:space="preserve"> </w:t>
      </w:r>
      <w:r>
        <w:t xml:space="preserve">where a same-family panel would amplify a shared one, and a modest diverse panel already recovers most of the</w:t>
      </w:r>
      <w:r>
        <w:t xml:space="preserve"> </w:t>
      </w:r>
      <w:r>
        <w:t xml:space="preserve">full-panel reliability, so practitioners should prioritize vendor diversity over more copies of similar judges.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Coupling the panel to attribute-stratified generation makes CoEval more than a better judge: because items are</w:t>
      </w:r>
      <w:r>
        <w:t xml:space="preserve"> </w:t>
      </w:r>
      <w:r>
        <w:t xml:space="preserve">synthesized fresh on every run, it sidesteps contamination structurally rather than chasing leaked items, and targets</w:t>
      </w:r>
      <w:r>
        <w:t xml:space="preserve"> </w:t>
      </w:r>
      <w:r>
        <w:t xml:space="preserve">the deployment's own distribution rather than a generic average. The same role separation that secures</w:t>
      </w:r>
      <w:r>
        <w:t xml:space="preserve"> </w:t>
      </w:r>
      <w:r>
        <w:t xml:space="preserve">contamination-freeness also precludes same-family self-preference, one architectural choice closing two leakage</w:t>
      </w:r>
      <w:r>
        <w:t xml:space="preserve"> </w:t>
      </w:r>
      <w:r>
        <w:t xml:space="preserve">channels, and a single declarative configuration regenerates the benchmark, responses, and scores.</w:t>
      </w:r>
    </w:p>
    <w:bookmarkEnd w:id="32"/>
    <w:bookmarkStart w:id="33" w:name="conclusion"/>
    <w:p>
      <w:pPr>
        <w:pStyle w:val="Heading2"/>
        <w:keepNext/>
        <w:keepLines/>
        <w:widowControl w:val="1"/>
      </w:pPr>
      <w:r>
        <w:t xml:space="preserve">7.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presented CoEval, a framework for</w:t>
      </w:r>
      <w:r>
        <w:t xml:space="preserve"> </w:t>
      </w:r>
      <w:r>
        <w:rPr>
          <w:i/>
          <w:iCs/>
        </w:rPr>
        <w:t xml:space="preserve">ensemble self-evaluation</w:t>
      </w:r>
      <w:r>
        <w:t xml:space="preserve"> </w:t>
      </w:r>
      <w:r>
        <w:t xml:space="preserve">that ranks language models for a specific application when neither labeled data nor a trustworthy benchmark is available: from a task description alone, a pool of models rotates through all three roles, teacher, student, and judge, to generate a fresh, contamination-resistant benchmark, answer it, and rank the candidates, jointly weighting questions by discriminative power and judges by consensus, with no human annotation. Because every model also answers as a student, the same responses supply the data for both label-free weights. CoEval delivers</w:t>
      </w:r>
      <w:r>
        <w:t xml:space="preserve"> </w:t>
      </w:r>
      <w:r>
        <w:t xml:space="preserve">bias-cancelled, reliable evaluation without human annotation: it removes verbosity bias that no single judge avoids</w:t>
      </w:r>
      <w:r>
        <w:t xml:space="preserve"> </w:t>
      </w:r>
      <w:r>
        <w:t xml:space="preserve">(ensemble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0.010</m:t>
        </m:r>
      </m:oMath>
      <w:r>
        <w:t xml:space="preserve">, CI spanning zero; 93% reduction), structurally precludes same-family self-preference, and</w:t>
      </w:r>
      <w:r>
        <w:t xml:space="preserve"> </w:t>
      </w:r>
      <w:r>
        <w:t xml:space="preserve">produces task-specialized rubrics with a shared quality core, while also converging</w:t>
      </w:r>
      <w:r>
        <w:t xml:space="preserve"> </w:t>
      </w:r>
      <w:r>
        <w:t xml:space="preserve">to a stable full-panel consensus (Spearman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1.00</m:t>
        </m:r>
      </m:oMath>
      <w:r>
        <w:t xml:space="preserve">). Our</w:t>
      </w:r>
      <w:r>
        <w:t xml:space="preserve"> </w:t>
      </w:r>
      <w:r>
        <w:t xml:space="preserve">central finding, that judge-panel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rather than size is the decisive reliability lever, offers a</w:t>
      </w:r>
      <w:r>
        <w:t xml:space="preserve"> </w:t>
      </w:r>
      <w:r>
        <w:t xml:space="preserve">concrete and inexpensive recipe for trustworthy, renewable LLM evaluation.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panel is also self-validating: because a</w:t>
      </w:r>
      <w:r>
        <w:t xml:space="preserve"> </w:t>
      </w:r>
      <w:r>
        <w:t xml:space="preserve">judge's agreement with its peers is a label-free reliability estimate, the ensemble detects and zeroes out broken judges</w:t>
      </w:r>
      <w:r>
        <w:t xml:space="preserve"> </w:t>
      </w:r>
      <w:r>
        <w:t xml:space="preserve">with no ground truth, a safeguard a single judge cannot provide; the same weighting down-weights non-discriminative</w:t>
      </w:r>
      <w:r>
        <w:t xml:space="preserve"> </w:t>
      </w:r>
      <w:r>
        <w:t xml:space="preserve">challenges, so saturated questions carry no spurious ranking signal. Because model rankings are</w:t>
      </w:r>
      <w:r>
        <w:t xml:space="preserve"> </w:t>
      </w:r>
      <w:r>
        <w:rPr>
          <w:i/>
          <w:iCs/>
        </w:rPr>
        <w:t xml:space="preserve">domain-specific</w:t>
      </w:r>
      <w:r>
        <w:t xml:space="preserve"> </w:t>
      </w:r>
      <w:r>
        <w:t xml:space="preserve">(three different models top four de-novo domains, so a generic leaderboard misdirects most</w:t>
      </w:r>
      <w:r>
        <w:t xml:space="preserve"> </w:t>
      </w:r>
      <w:r>
        <w:t xml:space="preserve">practitioners) and the same declarative pipeline runs unchanged across models and domains, re-running on</w:t>
      </w:r>
      <w:r>
        <w:t xml:space="preserve"> </w:t>
      </w:r>
      <w:r>
        <w:t xml:space="preserve">every model release, CoEval is a reusable instrument a team points at its own application when neither labeled data nor</w:t>
      </w:r>
      <w:r>
        <w:t xml:space="preserve"> </w:t>
      </w:r>
      <w:r>
        <w:t xml:space="preserve">a trustworthy benchmark exists, rather than a single static study. CoEval is open-source and fully reproducible.</w:t>
      </w:r>
    </w:p>
    <w:bookmarkEnd w:id="33"/>
    <w:bookmarkStart w:id="34" w:name="limitations"/>
    <w:p>
      <w:pPr>
        <w:pStyle w:val="Heading2"/>
        <w:keepNext/>
        <w:keepLines/>
        <w:widowControl w:val="1"/>
      </w:pPr>
      <w:r>
        <w:t xml:space="preserve">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Three boundary conditions delimit the validated regime. First, judge accuracy is anchored to objective exact-match QA,</w:t>
      </w:r>
      <w:r>
        <w:t xml:space="preserve"> </w:t>
      </w:r>
      <w:r>
        <w:t xml:space="preserve">where labels exist (Section 5.1,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0.86</m:t>
        </m:r>
      </m:oMath>
      <w:r>
        <w:t xml:space="preserve">), and to human ratings on two public meta-evaluation benchmarks</w:t>
      </w:r>
      <w:r>
        <w:t xml:space="preserve"> </w:t>
      </w:r>
      <w:r>
        <w:t xml:space="preserve">(Section 5.1, SummEval and LLMBar); on the subjective custom domains (Section 5.4) the panel's trustworthiness</w:t>
      </w:r>
      <w:r>
        <w:t xml:space="preserve"> </w:t>
      </w:r>
      <w:r>
        <w:t xml:space="preserve">rests on those anchors together with its measured bias and reliability properties (Section 5.2 and Appendix E), and</w:t>
      </w:r>
      <w:r>
        <w:t xml:space="preserve"> </w:t>
      </w:r>
      <w:r>
        <w:t xml:space="preserve">rankings are reported as cross-family intervals rather than against a held-out gold ranking, which by assumption does</w:t>
      </w:r>
      <w:r>
        <w:t xml:space="preserve"> </w:t>
      </w:r>
      <w:r>
        <w:t xml:space="preserve">not exist. Task-specific human evaluation on those domains is the natural convergent check and the primary direction for</w:t>
      </w:r>
      <w:r>
        <w:t xml:space="preserve"> </w:t>
      </w:r>
      <w:r>
        <w:t xml:space="preserve">future validation. Second, the study spans up to thirteen candidate models across a four-task medium-scale benchmark</w:t>
      </w:r>
      <w:r>
        <w:t xml:space="preserve"> </w:t>
      </w:r>
      <w:r>
        <w:t xml:space="preserve">(summarization, question answering, code, and reasoning), three</w:t>
      </w:r>
      <w:r>
        <w:t xml:space="preserve"> </w:t>
      </w:r>
      <w:r>
        <w:t xml:space="preserve">custom verticals, a four-domain divergence study (Appendix D), and a thirteen-model rank-recovery check</w:t>
      </w:r>
      <w:r>
        <w:t xml:space="preserve"> </w:t>
      </w:r>
      <w:r>
        <w:t xml:space="preserve">(Section 5.2); wider model pools and further domains would extend the evidence. Third, the contamination guarantee</w:t>
      </w:r>
      <w:r>
        <w:t xml:space="preserve"> </w:t>
      </w:r>
      <w:r>
        <w:t xml:space="preserve">is structural (fresh per-run synthesis), validated by zero verbatim overlap and a controlled memorization study</w:t>
      </w:r>
      <w:r>
        <w:t xml:space="preserve"> </w:t>
      </w:r>
      <w:r>
        <w:t xml:space="preserve">(Section 5.3); verbatim n-gram overlap and membership-inference probes such as Min-K% [</w:t>
      </w:r>
      <w:hyperlink w:anchor="r36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answer complementary questions, the former whether an item is reproduced, the latter whether it was seen during</w:t>
      </w:r>
      <w:r>
        <w:t xml:space="preserve"> </w:t>
      </w:r>
      <w:r>
        <w:t xml:space="preserve">pretraining.</w:t>
      </w:r>
    </w:p>
    <w:bookmarkEnd w:id="34"/>
    <w:bookmarkStart w:id="35" w:name="ethics-statement"/>
    <w:p>
      <w:pPr>
        <w:pStyle w:val="Heading2"/>
        <w:keepNext/>
        <w:keepLines/>
        <w:widowControl w:val="1"/>
      </w:pPr>
      <w:r>
        <w:t xml:space="preserve">Ethics Statement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evaluates language models and involves no new human-subjects data collection. The human judgments used to</w:t>
      </w:r>
      <w:r>
        <w:t xml:space="preserve"> </w:t>
      </w:r>
      <w:r>
        <w:t xml:space="preserve">validate the judge (Section 5.1) come from existing public meta-evaluation benchmarks (SummEval, LLMBar) used</w:t>
      </w:r>
      <w:r>
        <w:t xml:space="preserve"> </w:t>
      </w:r>
      <w:r>
        <w:t xml:space="preserve">under their released licenses. The drug-interaction, clinical, and legal verticals (Section 5.4) are illustrations</w:t>
      </w:r>
      <w:r>
        <w:t xml:space="preserve"> </w:t>
      </w:r>
      <w:r>
        <w:t xml:space="preserve">of contamination-free benchmark generation, not validated decision-support systems, and should not be used for clinical</w:t>
      </w:r>
      <w:r>
        <w:t xml:space="preserve"> </w:t>
      </w:r>
      <w:r>
        <w:t xml:space="preserve">or legal decisions. Because CoEval generates evaluation items and scores them with language models, generated items and</w:t>
      </w:r>
      <w:r>
        <w:t xml:space="preserve"> </w:t>
      </w:r>
      <w:r>
        <w:t xml:space="preserve">rubrics can inherit model biases; the cross-family panel and the contamination checks mitigate but do not eliminate this</w:t>
      </w:r>
      <w:r>
        <w:t xml:space="preserve"> </w:t>
      </w:r>
      <w:r>
        <w:t xml:space="preserve">risk, and a practitioner applying CoEval in a high-stakes domain should pair it with human oversight.</w:t>
      </w:r>
    </w:p>
    <w:bookmarkEnd w:id="35"/>
    <w:bookmarkStart w:id="36" w:name="reproducibility"/>
    <w:p>
      <w:pPr>
        <w:pStyle w:val="Heading2"/>
        <w:keepNext/>
        <w:keepLines/>
        <w:widowControl w:val="1"/>
      </w:pPr>
      <w:r>
        <w:t xml:space="preserve">Reproducibility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Every experiment is driven by a declarative configuration file and is reproducible end to end. The framework, the</w:t>
      </w:r>
      <w:r>
        <w:t xml:space="preserve"> </w:t>
      </w:r>
      <w:r>
        <w:t xml:space="preserve">canonical prompt templates (Appendix C), the attribute and rubric specifications, the judge-panel definitions, and</w:t>
      </w:r>
      <w:r>
        <w:t xml:space="preserve"> </w:t>
      </w:r>
      <w:r>
        <w:t xml:space="preserve">the analysis code are released open-source, and the per-run scores and recovered rankings are recorded as artifacts. The</w:t>
      </w:r>
      <w:r>
        <w:t xml:space="preserve"> </w:t>
      </w:r>
      <w:r>
        <w:t xml:space="preserve">statistical estimators (ICC, bootstrap confidence intervals, the doubly-robust aggregator) are defined in</w:t>
      </w:r>
      <w:r>
        <w:t xml:space="preserve"> </w:t>
      </w:r>
      <w:r>
        <w:t xml:space="preserve">Appendix A.</w:t>
      </w:r>
    </w:p>
    <w:bookmarkEnd w:id="36"/>
    <w:bookmarkStart w:id="113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bookmarkStart w:id="38" w:name="r1"/>
      <w:r>
        <w:t xml:space="preserve">Zheng, L., Chiang, W.-L., Sheng, Y., et al. (2023).</w:t>
      </w:r>
      <w:r>
        <w:t xml:space="preserve"> </w:t>
      </w:r>
      <w:r>
        <w:rPr>
          <w:i/>
          <w:iCs/>
        </w:rPr>
        <w:t xml:space="preserve">Judging LLM-as-a-Judge with MT-Bench and Chatbot</w:t>
      </w:r>
      <w:r>
        <w:rPr>
          <w:i/>
          <w:iCs/>
        </w:rPr>
        <w:t xml:space="preserve"> </w:t>
      </w:r>
      <w:r>
        <w:rPr>
          <w:i/>
          <w:iCs/>
        </w:rPr>
        <w:t xml:space="preserve">Arena.</w:t>
      </w:r>
      <w:r>
        <w:t xml:space="preserve"> </w:t>
      </w:r>
      <w:r>
        <w:t xml:space="preserve">NeurIPS.</w:t>
      </w:r>
      <w:r>
        <w:t xml:space="preserve"> </w:t>
      </w:r>
      <w:hyperlink r:id="rId37">
        <w:r>
          <w:rPr>
            <w:rStyle w:val="Hyperlink"/>
          </w:rPr>
          <w:t xml:space="preserve">arxiv.org/abs/2306.05685</w:t>
        </w:r>
      </w:hyperlink>
      <w:bookmarkEnd w:id="3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bookmarkStart w:id="40" w:name="r2"/>
      <w:r>
        <w:t xml:space="preserve">Liu, Y., Iter, D., Xu, Y., et al. (2023).</w:t>
      </w:r>
      <w:r>
        <w:t xml:space="preserve"> </w:t>
      </w:r>
      <w:r>
        <w:rPr>
          <w:i/>
          <w:iCs/>
        </w:rPr>
        <w:t xml:space="preserve">G-Eval: NLG Evaluation using GPT-4 with Better Human</w:t>
      </w:r>
      <w:r>
        <w:rPr>
          <w:i/>
          <w:iCs/>
        </w:rPr>
        <w:t xml:space="preserve"> </w:t>
      </w:r>
      <w:r>
        <w:rPr>
          <w:i/>
          <w:iCs/>
        </w:rPr>
        <w:t xml:space="preserve">Alignment.</w:t>
      </w:r>
      <w:r>
        <w:t xml:space="preserve"> </w:t>
      </w:r>
      <w:r>
        <w:t xml:space="preserve">EMNLP.</w:t>
      </w:r>
      <w:r>
        <w:t xml:space="preserve"> </w:t>
      </w:r>
      <w:hyperlink r:id="rId39">
        <w:r>
          <w:rPr>
            <w:rStyle w:val="Hyperlink"/>
          </w:rPr>
          <w:t xml:space="preserve">arxiv.org/abs/2303.16634</w:t>
        </w:r>
      </w:hyperlink>
      <w:bookmarkEnd w:id="4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bookmarkStart w:id="42" w:name="r3"/>
      <w:r>
        <w:t xml:space="preserve">Kim, S., Suk, J., Longpre, S., et al. (2024).</w:t>
      </w:r>
      <w:r>
        <w:t xml:space="preserve"> </w:t>
      </w:r>
      <w:r>
        <w:rPr>
          <w:i/>
          <w:iCs/>
        </w:rPr>
        <w:t xml:space="preserve">Prometheus 2: An Open Source Language Model Specialized</w:t>
      </w:r>
      <w:r>
        <w:rPr>
          <w:i/>
          <w:iCs/>
        </w:rPr>
        <w:t xml:space="preserve"> </w:t>
      </w:r>
      <w:r>
        <w:rPr>
          <w:i/>
          <w:iCs/>
        </w:rPr>
        <w:t xml:space="preserve">in Evaluating Other Language Models.</w:t>
      </w:r>
      <w:r>
        <w:t xml:space="preserve"> </w:t>
      </w:r>
      <w:hyperlink r:id="rId41">
        <w:r>
          <w:rPr>
            <w:rStyle w:val="Hyperlink"/>
          </w:rPr>
          <w:t xml:space="preserve">arxiv.org/abs/2405.01535</w:t>
        </w:r>
      </w:hyperlink>
      <w:bookmarkEnd w:id="42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bookmarkStart w:id="44" w:name="r4"/>
      <w:r>
        <w:t xml:space="preserve">Vu, T., Krishna, K., Alzubi, S., et al. (2024).</w:t>
      </w:r>
      <w:r>
        <w:t xml:space="preserve"> </w:t>
      </w:r>
      <w:r>
        <w:rPr>
          <w:i/>
          <w:iCs/>
        </w:rPr>
        <w:t xml:space="preserve">Foundational Autoraters: Taming Large Language Models</w:t>
      </w:r>
      <w:r>
        <w:rPr>
          <w:i/>
          <w:iCs/>
        </w:rPr>
        <w:t xml:space="preserve"> </w:t>
      </w:r>
      <w:r>
        <w:rPr>
          <w:i/>
          <w:iCs/>
        </w:rPr>
        <w:t xml:space="preserve">for Better Automatic Evaluation (FLAMe).</w:t>
      </w:r>
      <w:r>
        <w:t xml:space="preserve"> </w:t>
      </w:r>
      <w:r>
        <w:t xml:space="preserve">EMNLP.</w:t>
      </w:r>
      <w:r>
        <w:t xml:space="preserve"> </w:t>
      </w:r>
      <w:hyperlink r:id="rId43">
        <w:r>
          <w:rPr>
            <w:rStyle w:val="Hyperlink"/>
          </w:rPr>
          <w:t xml:space="preserve">arxiv.org/abs/2407.10817</w:t>
        </w:r>
      </w:hyperlink>
      <w:bookmarkEnd w:id="44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bookmarkStart w:id="46" w:name="r5"/>
      <w:r>
        <w:t xml:space="preserve">Verga, P., Hofstatter, S., Althammer, S., et al. (2024).</w:t>
      </w:r>
      <w:r>
        <w:t xml:space="preserve"> </w:t>
      </w:r>
      <w:r>
        <w:rPr>
          <w:i/>
          <w:iCs/>
        </w:rPr>
        <w:t xml:space="preserve">Replacing Judges with Juries: Evaluating LLM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Generations with a Panel of Diverse Models (PoLL).</w:t>
      </w:r>
      <w:r>
        <w:t xml:space="preserve"> </w:t>
      </w:r>
      <w:hyperlink r:id="rId45">
        <w:r>
          <w:rPr>
            <w:rStyle w:val="Hyperlink"/>
          </w:rPr>
          <w:t xml:space="preserve">arxiv.org/abs/2404.18796</w:t>
        </w:r>
      </w:hyperlink>
      <w:bookmarkEnd w:id="46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bookmarkStart w:id="48" w:name="r6"/>
      <w:r>
        <w:t xml:space="preserve">Tan, S., Zhuang, S., Montgomery, K., et al. (2025).</w:t>
      </w:r>
      <w:r>
        <w:t xml:space="preserve"> </w:t>
      </w:r>
      <w:r>
        <w:rPr>
          <w:i/>
          <w:iCs/>
        </w:rPr>
        <w:t xml:space="preserve">JudgeBench: A Benchmark for Evaluating LLM-based</w:t>
      </w:r>
      <w:r>
        <w:rPr>
          <w:i/>
          <w:iCs/>
        </w:rPr>
        <w:t xml:space="preserve"> </w:t>
      </w:r>
      <w:r>
        <w:rPr>
          <w:i/>
          <w:iCs/>
        </w:rPr>
        <w:t xml:space="preserve">Judges.</w:t>
      </w:r>
      <w:r>
        <w:t xml:space="preserve"> </w:t>
      </w:r>
      <w:r>
        <w:t xml:space="preserve">ICLR.</w:t>
      </w:r>
      <w:r>
        <w:t xml:space="preserve"> </w:t>
      </w:r>
      <w:hyperlink r:id="rId47">
        <w:r>
          <w:rPr>
            <w:rStyle w:val="Hyperlink"/>
          </w:rPr>
          <w:t xml:space="preserve">arxiv.org/abs/2410.12784</w:t>
        </w:r>
      </w:hyperlink>
      <w:bookmarkEnd w:id="4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bookmarkStart w:id="50" w:name="r7"/>
      <w:r>
        <w:t xml:space="preserve">Kim, S., Suk, J., Cho, J. Y., et al. (2025).</w:t>
      </w:r>
      <w:r>
        <w:t xml:space="preserve"> </w:t>
      </w:r>
      <w:r>
        <w:rPr>
          <w:i/>
          <w:iCs/>
        </w:rPr>
        <w:t xml:space="preserve">The BiGGen Bench: A Principled Benchmark for Fine-grained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 of Language Models with Language Models.</w:t>
      </w:r>
      <w:r>
        <w:t xml:space="preserve"> </w:t>
      </w:r>
      <w:r>
        <w:t xml:space="preserve">NAACL.</w:t>
      </w:r>
      <w:r>
        <w:t xml:space="preserve"> </w:t>
      </w:r>
      <w:hyperlink r:id="rId49">
        <w:r>
          <w:rPr>
            <w:rStyle w:val="Hyperlink"/>
          </w:rPr>
          <w:t xml:space="preserve">arxiv.org/abs/2406.05761</w:t>
        </w:r>
      </w:hyperlink>
      <w:bookmarkEnd w:id="5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bookmarkStart w:id="52" w:name="r8"/>
      <w:r>
        <w:t xml:space="preserve">Dubois, Y., Galambosi, B., Liang, P., Hashimoto, T. B. (2024).</w:t>
      </w:r>
      <w:r>
        <w:t xml:space="preserve"> </w:t>
      </w:r>
      <w:r>
        <w:rPr>
          <w:i/>
          <w:iCs/>
        </w:rPr>
        <w:t xml:space="preserve">Length-Controlled AlpacaEval: A Simple</w:t>
      </w:r>
      <w:r>
        <w:rPr>
          <w:i/>
          <w:iCs/>
        </w:rPr>
        <w:t xml:space="preserve"> </w:t>
      </w:r>
      <w:r>
        <w:rPr>
          <w:i/>
          <w:iCs/>
        </w:rPr>
        <w:t xml:space="preserve">Way to Debias Automatic Evaluators.</w:t>
      </w:r>
      <w:r>
        <w:t xml:space="preserve"> </w:t>
      </w:r>
      <w:hyperlink r:id="rId51">
        <w:r>
          <w:rPr>
            <w:rStyle w:val="Hyperlink"/>
          </w:rPr>
          <w:t xml:space="preserve">arxiv.org/abs/2404.04475</w:t>
        </w:r>
      </w:hyperlink>
      <w:bookmarkEnd w:id="52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bookmarkStart w:id="54" w:name="r9"/>
      <w:r>
        <w:t xml:space="preserve">Li, X. L., Kazemi, M., et al. (2024).</w:t>
      </w:r>
      <w:r>
        <w:t xml:space="preserve"> </w:t>
      </w:r>
      <w:r>
        <w:rPr>
          <w:i/>
          <w:iCs/>
        </w:rPr>
        <w:t xml:space="preserve">AutoBencher: Towards Declarative Benchmark Construction.</w:t>
      </w:r>
      <w:r>
        <w:t xml:space="preserve"> </w:t>
      </w:r>
      <w:hyperlink r:id="rId53">
        <w:r>
          <w:rPr>
            <w:rStyle w:val="Hyperlink"/>
          </w:rPr>
          <w:t xml:space="preserve">arxiv.org/abs/2407.08351</w:t>
        </w:r>
      </w:hyperlink>
      <w:bookmarkEnd w:id="54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bookmarkStart w:id="56" w:name="r10"/>
      <w:r>
        <w:t xml:space="preserve">Butt, N., Awadalla, H., et al. (2024).</w:t>
      </w:r>
      <w:r>
        <w:t xml:space="preserve"> </w:t>
      </w:r>
      <w:r>
        <w:rPr>
          <w:i/>
          <w:iCs/>
        </w:rPr>
        <w:t xml:space="preserve">BenchAgents: Automated Benchmark Creation with Agent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Interaction.</w:t>
      </w:r>
      <w:r>
        <w:t xml:space="preserve"> </w:t>
      </w:r>
      <w:hyperlink r:id="rId55">
        <w:r>
          <w:rPr>
            <w:rStyle w:val="Hyperlink"/>
          </w:rPr>
          <w:t xml:space="preserve">arxiv.org/abs/2410.22584</w:t>
        </w:r>
      </w:hyperlink>
      <w:bookmarkEnd w:id="56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bookmarkStart w:id="58" w:name="r11"/>
      <w:r>
        <w:t xml:space="preserve">Shashidhar, S., et al. (2025).</w:t>
      </w:r>
      <w:r>
        <w:t xml:space="preserve"> </w:t>
      </w:r>
      <w:r>
        <w:rPr>
          <w:i/>
          <w:iCs/>
        </w:rPr>
        <w:t xml:space="preserve">YourBench: Easy Custom Evaluation Sets for Everyone.</w:t>
      </w:r>
      <w:r>
        <w:t xml:space="preserve"> </w:t>
      </w:r>
      <w:hyperlink r:id="rId57">
        <w:r>
          <w:rPr>
            <w:rStyle w:val="Hyperlink"/>
          </w:rPr>
          <w:t xml:space="preserve">arxiv.org/abs/2504.01833</w:t>
        </w:r>
      </w:hyperlink>
      <w:bookmarkEnd w:id="5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bookmarkStart w:id="60" w:name="r12"/>
      <w:r>
        <w:t xml:space="preserve">Zhang, H., Da, J., Lee, D., et al. (2024).</w:t>
      </w:r>
      <w:r>
        <w:t xml:space="preserve"> </w:t>
      </w:r>
      <w:r>
        <w:rPr>
          <w:i/>
          <w:iCs/>
        </w:rPr>
        <w:t xml:space="preserve">A Careful Examination of Large Language Model Performance on</w:t>
      </w:r>
      <w:r>
        <w:rPr>
          <w:i/>
          <w:iCs/>
        </w:rPr>
        <w:t xml:space="preserve"> </w:t>
      </w:r>
      <w:r>
        <w:rPr>
          <w:i/>
          <w:iCs/>
        </w:rPr>
        <w:t xml:space="preserve">Grade School Arithmetic (GSM1k).</w:t>
      </w:r>
      <w:r>
        <w:t xml:space="preserve"> </w:t>
      </w:r>
      <w:hyperlink r:id="rId59">
        <w:r>
          <w:rPr>
            <w:rStyle w:val="Hyperlink"/>
          </w:rPr>
          <w:t xml:space="preserve">arxiv.org/abs/2405.00332</w:t>
        </w:r>
      </w:hyperlink>
      <w:bookmarkEnd w:id="6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bookmarkStart w:id="62" w:name="r13"/>
      <w:r>
        <w:t xml:space="preserve">Xu, C., et al. (2025).</w:t>
      </w:r>
      <w:r>
        <w:t xml:space="preserve"> </w:t>
      </w:r>
      <w:r>
        <w:rPr>
          <w:i/>
          <w:iCs/>
        </w:rPr>
        <w:t xml:space="preserve">Benchmark Data Contamination of Large Language Models: A Survey.</w:t>
      </w:r>
      <w:r>
        <w:t xml:space="preserve"> </w:t>
      </w:r>
      <w:hyperlink r:id="rId61">
        <w:r>
          <w:rPr>
            <w:rStyle w:val="Hyperlink"/>
          </w:rPr>
          <w:t xml:space="preserve">arxiv.org/abs/2502.14425</w:t>
        </w:r>
      </w:hyperlink>
      <w:bookmarkEnd w:id="62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bookmarkStart w:id="64" w:name="r14"/>
      <w:r>
        <w:t xml:space="preserve">Kiela, D., Bartolo, M., Nie, Y., et al. (2021).</w:t>
      </w:r>
      <w:r>
        <w:t xml:space="preserve"> </w:t>
      </w:r>
      <w:r>
        <w:rPr>
          <w:i/>
          <w:iCs/>
        </w:rPr>
        <w:t xml:space="preserve">Dynabench: Rethinking Benchmarking in NLP.</w:t>
      </w:r>
      <w:r>
        <w:t xml:space="preserve"> </w:t>
      </w:r>
      <w:r>
        <w:t xml:space="preserve">NAACL.</w:t>
      </w:r>
      <w:r>
        <w:t xml:space="preserve"> </w:t>
      </w:r>
      <w:hyperlink r:id="rId63">
        <w:r>
          <w:rPr>
            <w:rStyle w:val="Hyperlink"/>
          </w:rPr>
          <w:t xml:space="preserve">arxiv.org/abs/2104.14337</w:t>
        </w:r>
      </w:hyperlink>
      <w:bookmarkEnd w:id="64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bookmarkStart w:id="66" w:name="r15"/>
      <w:r>
        <w:t xml:space="preserve">Li, D., Sun, R., Huang, Y., et al. (2026).</w:t>
      </w:r>
      <w:r>
        <w:t xml:space="preserve"> </w:t>
      </w:r>
      <w:r>
        <w:rPr>
          <w:i/>
          <w:iCs/>
        </w:rPr>
        <w:t xml:space="preserve">Preference Leakage: A Contamination Problem in</w:t>
      </w:r>
      <w:r>
        <w:rPr>
          <w:i/>
          <w:iCs/>
        </w:rPr>
        <w:t xml:space="preserve"> </w:t>
      </w:r>
      <w:r>
        <w:rPr>
          <w:i/>
          <w:iCs/>
        </w:rPr>
        <w:t xml:space="preserve">LLM-as-a-Judge.</w:t>
      </w:r>
      <w:r>
        <w:t xml:space="preserve"> </w:t>
      </w:r>
      <w:r>
        <w:t xml:space="preserve">ICLR.</w:t>
      </w:r>
      <w:r>
        <w:t xml:space="preserve"> </w:t>
      </w:r>
      <w:hyperlink r:id="rId65">
        <w:r>
          <w:rPr>
            <w:rStyle w:val="Hyperlink"/>
          </w:rPr>
          <w:t xml:space="preserve">arxiv.org/abs/2502.01534</w:t>
        </w:r>
      </w:hyperlink>
      <w:bookmarkEnd w:id="66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bookmarkStart w:id="68" w:name="r16"/>
      <w:r>
        <w:t xml:space="preserve">Spiliopoulou, E., et al. (2025).</w:t>
      </w:r>
      <w:r>
        <w:t xml:space="preserve"> </w:t>
      </w:r>
      <w:r>
        <w:rPr>
          <w:i/>
          <w:iCs/>
        </w:rPr>
        <w:t xml:space="preserve">Play Favorites: A Statistical Method to Measure Self-Bias in</w:t>
      </w:r>
      <w:r>
        <w:rPr>
          <w:i/>
          <w:iCs/>
        </w:rPr>
        <w:t xml:space="preserve"> </w:t>
      </w:r>
      <w:r>
        <w:rPr>
          <w:i/>
          <w:iCs/>
        </w:rPr>
        <w:t xml:space="preserve">LLM-as-a-Judge.</w:t>
      </w:r>
      <w:r>
        <w:t xml:space="preserve"> </w:t>
      </w:r>
      <w:hyperlink r:id="rId67">
        <w:r>
          <w:rPr>
            <w:rStyle w:val="Hyperlink"/>
          </w:rPr>
          <w:t xml:space="preserve">arxiv.org/abs/2508.06709</w:t>
        </w:r>
      </w:hyperlink>
      <w:bookmarkEnd w:id="6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bookmarkStart w:id="70" w:name="r17"/>
      <w:r>
        <w:t xml:space="preserve">Ye, J., Wang, Y., Huang, Y., et al. (2024).</w:t>
      </w:r>
      <w:r>
        <w:t xml:space="preserve"> </w:t>
      </w:r>
      <w:r>
        <w:rPr>
          <w:i/>
          <w:iCs/>
        </w:rPr>
        <w:t xml:space="preserve">Justice or Prejudice? Quantifying Biases in</w:t>
      </w:r>
      <w:r>
        <w:rPr>
          <w:i/>
          <w:iCs/>
        </w:rPr>
        <w:t xml:space="preserve"> </w:t>
      </w:r>
      <w:r>
        <w:rPr>
          <w:i/>
          <w:iCs/>
        </w:rPr>
        <w:t xml:space="preserve">LLM-as-a-Judge.</w:t>
      </w:r>
      <w:r>
        <w:t xml:space="preserve"> </w:t>
      </w:r>
      <w:hyperlink r:id="rId69">
        <w:r>
          <w:rPr>
            <w:rStyle w:val="Hyperlink"/>
          </w:rPr>
          <w:t xml:space="preserve">arxiv.org/abs/2410.02736</w:t>
        </w:r>
      </w:hyperlink>
      <w:bookmarkEnd w:id="7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bookmarkStart w:id="72" w:name="r18"/>
      <w:r>
        <w:t xml:space="preserve">Wataoka, K., Takahashi, T., Ri, R. (2024).</w:t>
      </w:r>
      <w:r>
        <w:t xml:space="preserve"> </w:t>
      </w:r>
      <w:r>
        <w:rPr>
          <w:i/>
          <w:iCs/>
        </w:rPr>
        <w:t xml:space="preserve">Self-Preference Bias in LLM-as-a-Judge.</w:t>
      </w:r>
      <w:r>
        <w:t xml:space="preserve"> </w:t>
      </w:r>
      <w:hyperlink r:id="rId71">
        <w:r>
          <w:rPr>
            <w:rStyle w:val="Hyperlink"/>
          </w:rPr>
          <w:t xml:space="preserve">arxiv.org/abs/2410.21819</w:t>
        </w:r>
      </w:hyperlink>
      <w:bookmarkEnd w:id="72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bookmarkStart w:id="74" w:name="r19"/>
      <w:r>
        <w:t xml:space="preserve">Gu, J., Jiang, X., Shi, Z., et al. (2024).</w:t>
      </w:r>
      <w:r>
        <w:t xml:space="preserve"> </w:t>
      </w:r>
      <w:r>
        <w:rPr>
          <w:i/>
          <w:iCs/>
        </w:rPr>
        <w:t xml:space="preserve">A Survey on LLM-as-a-Judge.</w:t>
      </w:r>
      <w:r>
        <w:t xml:space="preserve"> </w:t>
      </w:r>
      <w:hyperlink r:id="rId73">
        <w:r>
          <w:rPr>
            <w:rStyle w:val="Hyperlink"/>
          </w:rPr>
          <w:t xml:space="preserve">arxiv.org/abs/2411.15594</w:t>
        </w:r>
      </w:hyperlink>
      <w:bookmarkEnd w:id="74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bookmarkStart w:id="76" w:name="r20"/>
      <w:r>
        <w:t xml:space="preserve">Li, D., Jiang, B., Huang, L., et al. (2025).</w:t>
      </w:r>
      <w:r>
        <w:t xml:space="preserve"> </w:t>
      </w:r>
      <w:r>
        <w:rPr>
          <w:i/>
          <w:iCs/>
        </w:rPr>
        <w:t xml:space="preserve">From Generation to Judgment: Opportunities and</w:t>
      </w:r>
      <w:r>
        <w:rPr>
          <w:i/>
          <w:iCs/>
        </w:rPr>
        <w:t xml:space="preserve"> </w:t>
      </w:r>
      <w:r>
        <w:rPr>
          <w:i/>
          <w:iCs/>
        </w:rPr>
        <w:t xml:space="preserve">Challenges of LLM-as-a-Judge.</w:t>
      </w:r>
      <w:r>
        <w:t xml:space="preserve"> </w:t>
      </w:r>
      <w:r>
        <w:t xml:space="preserve">EMNLP.</w:t>
      </w:r>
      <w:r>
        <w:t xml:space="preserve"> </w:t>
      </w:r>
      <w:hyperlink r:id="rId75">
        <w:r>
          <w:rPr>
            <w:rStyle w:val="Hyperlink"/>
          </w:rPr>
          <w:t xml:space="preserve">arxiv.org/abs/2411.16594</w:t>
        </w:r>
      </w:hyperlink>
      <w:bookmarkEnd w:id="76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bookmarkStart w:id="78" w:name="r21"/>
      <w:r>
        <w:t xml:space="preserve">Chan, C.-M., Chen, W., Su, Y., et al. (2024).</w:t>
      </w:r>
      <w:r>
        <w:t xml:space="preserve"> </w:t>
      </w:r>
      <w:r>
        <w:rPr>
          <w:i/>
          <w:iCs/>
        </w:rPr>
        <w:t xml:space="preserve">ChatEval: Towards Better LLM-based Evaluators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Multi-Agent Debate.</w:t>
      </w:r>
      <w:r>
        <w:t xml:space="preserve"> </w:t>
      </w:r>
      <w:r>
        <w:t xml:space="preserve">ICLR.</w:t>
      </w:r>
      <w:r>
        <w:t xml:space="preserve"> </w:t>
      </w:r>
      <w:hyperlink r:id="rId77">
        <w:r>
          <w:rPr>
            <w:rStyle w:val="Hyperlink"/>
          </w:rPr>
          <w:t xml:space="preserve">arxiv.org/abs/2308.07201</w:t>
        </w:r>
      </w:hyperlink>
      <w:bookmarkEnd w:id="7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bookmarkStart w:id="80" w:name="r22"/>
      <w:r>
        <w:t xml:space="preserve">White, C., Dooley, S., Roberts, M., et al. (2025).</w:t>
      </w:r>
      <w:r>
        <w:t xml:space="preserve"> </w:t>
      </w:r>
      <w:r>
        <w:rPr>
          <w:i/>
          <w:iCs/>
        </w:rPr>
        <w:t xml:space="preserve">LiveBench: A Challenging, Contamination-Limited</w:t>
      </w:r>
      <w:r>
        <w:rPr>
          <w:i/>
          <w:iCs/>
        </w:rPr>
        <w:t xml:space="preserve"> </w:t>
      </w:r>
      <w:r>
        <w:rPr>
          <w:i/>
          <w:iCs/>
        </w:rPr>
        <w:t xml:space="preserve">LLM Benchmark.</w:t>
      </w:r>
      <w:r>
        <w:t xml:space="preserve"> </w:t>
      </w:r>
      <w:r>
        <w:t xml:space="preserve">ICLR.</w:t>
      </w:r>
      <w:r>
        <w:t xml:space="preserve"> </w:t>
      </w:r>
      <w:hyperlink r:id="rId79">
        <w:r>
          <w:rPr>
            <w:rStyle w:val="Hyperlink"/>
          </w:rPr>
          <w:t xml:space="preserve">arxiv.org/abs/2406.19314</w:t>
        </w:r>
      </w:hyperlink>
      <w:bookmarkEnd w:id="8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bookmarkStart w:id="82" w:name="r23"/>
      <w:r>
        <w:t xml:space="preserve">Jain, N., Han, K., Gu, A., et al. (2025).</w:t>
      </w:r>
      <w:r>
        <w:t xml:space="preserve"> </w:t>
      </w:r>
      <w:r>
        <w:rPr>
          <w:i/>
          <w:iCs/>
        </w:rPr>
        <w:t xml:space="preserve">LiveCodeBench: Holistic and Contamination Free Evaluation</w:t>
      </w:r>
      <w:r>
        <w:rPr>
          <w:i/>
          <w:iCs/>
        </w:rPr>
        <w:t xml:space="preserve"> </w:t>
      </w:r>
      <w:r>
        <w:rPr>
          <w:i/>
          <w:iCs/>
        </w:rPr>
        <w:t xml:space="preserve">of Large Language Models for Code.</w:t>
      </w:r>
      <w:r>
        <w:t xml:space="preserve"> </w:t>
      </w:r>
      <w:r>
        <w:t xml:space="preserve">ICLR.</w:t>
      </w:r>
      <w:r>
        <w:t xml:space="preserve"> </w:t>
      </w:r>
      <w:hyperlink r:id="rId81">
        <w:r>
          <w:rPr>
            <w:rStyle w:val="Hyperlink"/>
          </w:rPr>
          <w:t xml:space="preserve">arxiv.org/abs/2403.07974</w:t>
        </w:r>
      </w:hyperlink>
      <w:bookmarkEnd w:id="82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bookmarkStart w:id="84" w:name="r24"/>
      <w:r>
        <w:t xml:space="preserve">Chen, W.-L., Wu, Z., Bansal, H., et al. (2025).</w:t>
      </w:r>
      <w:r>
        <w:t xml:space="preserve"> </w:t>
      </w:r>
      <w:r>
        <w:rPr>
          <w:i/>
          <w:iCs/>
        </w:rPr>
        <w:t xml:space="preserve">Do LLM Evaluators Prefer Themselves for a</w:t>
      </w:r>
      <w:r>
        <w:rPr>
          <w:i/>
          <w:iCs/>
        </w:rPr>
        <w:t xml:space="preserve"> </w:t>
      </w:r>
      <w:r>
        <w:rPr>
          <w:i/>
          <w:iCs/>
        </w:rPr>
        <w:t xml:space="preserve">Reason?</w:t>
      </w:r>
      <w:r>
        <w:t xml:space="preserve"> </w:t>
      </w:r>
      <w:hyperlink r:id="rId83">
        <w:r>
          <w:rPr>
            <w:rStyle w:val="Hyperlink"/>
          </w:rPr>
          <w:t xml:space="preserve">arxiv.org/abs/2504.03846</w:t>
        </w:r>
      </w:hyperlink>
      <w:bookmarkEnd w:id="84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bookmarkStart w:id="86" w:name="r25"/>
      <w:r>
        <w:t xml:space="preserve">Raju, R., Jain, S., Li, B., et al. (2024).</w:t>
      </w:r>
      <w:r>
        <w:t xml:space="preserve"> </w:t>
      </w:r>
      <w:r>
        <w:rPr>
          <w:i/>
          <w:iCs/>
        </w:rPr>
        <w:t xml:space="preserve">Constructing Domain-Specific Evaluation Sets for</w:t>
      </w:r>
      <w:r>
        <w:rPr>
          <w:i/>
          <w:iCs/>
        </w:rPr>
        <w:t xml:space="preserve"> </w:t>
      </w:r>
      <w:r>
        <w:rPr>
          <w:i/>
          <w:iCs/>
        </w:rPr>
        <w:t xml:space="preserve">LLM-as-a-judge.</w:t>
      </w:r>
      <w:r>
        <w:t xml:space="preserve"> </w:t>
      </w:r>
      <w:hyperlink r:id="rId85">
        <w:r>
          <w:rPr>
            <w:rStyle w:val="Hyperlink"/>
          </w:rPr>
          <w:t xml:space="preserve">arxiv.org/abs/2408.08808</w:t>
        </w:r>
      </w:hyperlink>
      <w:bookmarkEnd w:id="86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bookmarkStart w:id="88" w:name="r26"/>
      <w:r>
        <w:t xml:space="preserve">Li, Y., et al. (2025).</w:t>
      </w:r>
      <w:r>
        <w:t xml:space="preserve"> </w:t>
      </w:r>
      <w:r>
        <w:rPr>
          <w:i/>
          <w:iCs/>
        </w:rPr>
        <w:t xml:space="preserve">Leveraging LLMs as Meta-Judges: A Multi-Agent Framework.</w:t>
      </w:r>
      <w:r>
        <w:t xml:space="preserve"> </w:t>
      </w:r>
      <w:hyperlink r:id="rId87">
        <w:r>
          <w:rPr>
            <w:rStyle w:val="Hyperlink"/>
          </w:rPr>
          <w:t xml:space="preserve">arxiv.org/abs/2504.17087</w:t>
        </w:r>
      </w:hyperlink>
      <w:bookmarkEnd w:id="8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bookmarkStart w:id="90" w:name="r27"/>
      <w:r>
        <w:t xml:space="preserve">Qian, C., Sun, G., Gales, M., Knill, K. (2026).</w:t>
      </w:r>
      <w:r>
        <w:t xml:space="preserve"> </w:t>
      </w:r>
      <w:r>
        <w:rPr>
          <w:i/>
          <w:iCs/>
        </w:rPr>
        <w:t xml:space="preserve">Who can we trust? LLM-as-a-jury for Comparative</w:t>
      </w:r>
      <w:r>
        <w:rPr>
          <w:i/>
          <w:iCs/>
        </w:rPr>
        <w:t xml:space="preserve"> </w:t>
      </w:r>
      <w:r>
        <w:rPr>
          <w:i/>
          <w:iCs/>
        </w:rPr>
        <w:t xml:space="preserve">Assessment.</w:t>
      </w:r>
      <w:r>
        <w:t xml:space="preserve"> </w:t>
      </w:r>
      <w:r>
        <w:t xml:space="preserve">ICML.</w:t>
      </w:r>
      <w:r>
        <w:t xml:space="preserve"> </w:t>
      </w:r>
      <w:hyperlink r:id="rId89">
        <w:r>
          <w:rPr>
            <w:rStyle w:val="Hyperlink"/>
          </w:rPr>
          <w:t xml:space="preserve">arxiv.org/abs/2602.16610</w:t>
        </w:r>
      </w:hyperlink>
      <w:bookmarkEnd w:id="9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bookmarkStart w:id="92" w:name="r28"/>
      <w:r>
        <w:t xml:space="preserve">Zhao, Y., Shin, J., Huang, Z., Namburi, S., Sala, F. (2026).</w:t>
      </w:r>
      <w:r>
        <w:t xml:space="preserve"> </w:t>
      </w:r>
      <w:r>
        <w:rPr>
          <w:i/>
          <w:iCs/>
        </w:rPr>
        <w:t xml:space="preserve">CARE: Confounder-Aware Aggregation</w:t>
      </w:r>
      <w:r>
        <w:rPr>
          <w:i/>
          <w:iCs/>
        </w:rPr>
        <w:t xml:space="preserve"> </w:t>
      </w:r>
      <w:r>
        <w:rPr>
          <w:i/>
          <w:iCs/>
        </w:rPr>
        <w:t xml:space="preserve">for Reliable LLM Evaluation.</w:t>
      </w:r>
      <w:r>
        <w:t xml:space="preserve"> </w:t>
      </w:r>
      <w:hyperlink r:id="rId91">
        <w:r>
          <w:rPr>
            <w:rStyle w:val="Hyperlink"/>
          </w:rPr>
          <w:t xml:space="preserve">arxiv.org/abs/2603.00039</w:t>
        </w:r>
      </w:hyperlink>
      <w:bookmarkEnd w:id="92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bookmarkStart w:id="94" w:name="r29"/>
      <w:r>
        <w:t xml:space="preserve">Xu, C., Tan, Z., Wu, J., Zhou, T. (2026).</w:t>
      </w:r>
      <w:r>
        <w:t xml:space="preserve"> </w:t>
      </w:r>
      <w:r>
        <w:rPr>
          <w:i/>
          <w:iCs/>
        </w:rPr>
        <w:t xml:space="preserve">A Judge-Aware Ranking Framework for Evaluating Large</w:t>
      </w:r>
      <w:r>
        <w:rPr>
          <w:i/>
          <w:iCs/>
        </w:rPr>
        <w:t xml:space="preserve"> </w:t>
      </w:r>
      <w:r>
        <w:rPr>
          <w:i/>
          <w:iCs/>
        </w:rPr>
        <w:t xml:space="preserve">Language Models without Ground Truth.</w:t>
      </w:r>
      <w:r>
        <w:t xml:space="preserve"> </w:t>
      </w:r>
      <w:hyperlink r:id="rId93">
        <w:r>
          <w:rPr>
            <w:rStyle w:val="Hyperlink"/>
          </w:rPr>
          <w:t xml:space="preserve">arxiv.org/abs/2601.21817</w:t>
        </w:r>
      </w:hyperlink>
      <w:bookmarkEnd w:id="94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bookmarkStart w:id="96" w:name="r30"/>
      <w:r>
        <w:t xml:space="preserve">Patel, A., Reddy, S., Bahdanau, D. (2025).</w:t>
      </w:r>
      <w:r>
        <w:t xml:space="preserve"> </w:t>
      </w:r>
      <w:r>
        <w:rPr>
          <w:i/>
          <w:iCs/>
        </w:rPr>
        <w:t xml:space="preserve">CHASE: How to Get Your LLM to Generate Challenging</w:t>
      </w:r>
      <w:r>
        <w:rPr>
          <w:i/>
          <w:iCs/>
        </w:rPr>
        <w:t xml:space="preserve"> </w:t>
      </w:r>
      <w:r>
        <w:rPr>
          <w:i/>
          <w:iCs/>
        </w:rPr>
        <w:t xml:space="preserve">Problems for Evaluation.</w:t>
      </w:r>
      <w:r>
        <w:t xml:space="preserve"> </w:t>
      </w:r>
      <w:hyperlink r:id="rId95">
        <w:r>
          <w:rPr>
            <w:rStyle w:val="Hyperlink"/>
          </w:rPr>
          <w:t xml:space="preserve">arxiv.org/abs/2502.14678</w:t>
        </w:r>
      </w:hyperlink>
      <w:bookmarkEnd w:id="96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bookmarkStart w:id="98" w:name="r31"/>
      <w:r>
        <w:t xml:space="preserve">Filice, S., Horowitz, G., Carmel, D., Karnin, Z., Lewin-Eytan, L., Maarek, Y. (2025).</w:t>
      </w:r>
      <w:r>
        <w:t xml:space="preserve"> </w:t>
      </w:r>
      <w:r>
        <w:rPr>
          <w:i/>
          <w:iCs/>
        </w:rPr>
        <w:t xml:space="preserve">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Diverse Q&amp;A Benchmarks for RAG Evaluation with DataMorgana.</w:t>
      </w:r>
      <w:r>
        <w:t xml:space="preserve"> </w:t>
      </w:r>
      <w:r>
        <w:t xml:space="preserve">SIGIR LiveRAG.</w:t>
      </w:r>
      <w:r>
        <w:t xml:space="preserve"> </w:t>
      </w:r>
      <w:hyperlink r:id="rId97">
        <w:r>
          <w:rPr>
            <w:rStyle w:val="Hyperlink"/>
          </w:rPr>
          <w:t xml:space="preserve">arxiv.org/abs/2501.12789</w:t>
        </w:r>
      </w:hyperlink>
      <w:bookmarkEnd w:id="9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bookmarkStart w:id="100" w:name="r32"/>
      <w:r>
        <w:t xml:space="preserve">Chen, Y., et al. (2025).</w:t>
      </w:r>
      <w:r>
        <w:t xml:space="preserve"> </w:t>
      </w:r>
      <w:r>
        <w:rPr>
          <w:i/>
          <w:iCs/>
        </w:rPr>
        <w:t xml:space="preserve">Recent Advances in Large Language Model Benchmarks against Data</w:t>
      </w:r>
      <w:r>
        <w:rPr>
          <w:i/>
          <w:iCs/>
        </w:rPr>
        <w:t xml:space="preserve"> </w:t>
      </w:r>
      <w:r>
        <w:rPr>
          <w:i/>
          <w:iCs/>
        </w:rPr>
        <w:t xml:space="preserve">Contamination: From Static to Dynamic Evaluation.</w:t>
      </w:r>
      <w:r>
        <w:t xml:space="preserve"> </w:t>
      </w:r>
      <w:r>
        <w:t xml:space="preserve">EMNLP.</w:t>
      </w:r>
      <w:r>
        <w:t xml:space="preserve"> </w:t>
      </w:r>
      <w:hyperlink r:id="rId99">
        <w:r>
          <w:rPr>
            <w:rStyle w:val="Hyperlink"/>
          </w:rPr>
          <w:t xml:space="preserve">arxiv.org/abs/2502.17521</w:t>
        </w:r>
      </w:hyperlink>
      <w:bookmarkEnd w:id="10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bookmarkStart w:id="102" w:name="r33"/>
      <w:r>
        <w:t xml:space="preserve">Dawid, A. P., Skene, A. M. (1979).</w:t>
      </w:r>
      <w:r>
        <w:t xml:space="preserve"> </w:t>
      </w:r>
      <w:r>
        <w:rPr>
          <w:i/>
          <w:iCs/>
        </w:rPr>
        <w:t xml:space="preserve">Maximum Likelihood Estimation of Observer Error-Rates Using</w:t>
      </w:r>
      <w:r>
        <w:rPr>
          <w:i/>
          <w:iCs/>
        </w:rPr>
        <w:t xml:space="preserve"> </w:t>
      </w:r>
      <w:r>
        <w:rPr>
          <w:i/>
          <w:iCs/>
        </w:rPr>
        <w:t xml:space="preserve">the EM Algorithm.</w:t>
      </w:r>
      <w:r>
        <w:t xml:space="preserve"> </w:t>
      </w:r>
      <w:r>
        <w:t xml:space="preserve">Journal of the Royal Statistical Society: Series C (Applied Statistics), 28(1), 20–28.</w:t>
      </w:r>
      <w:r>
        <w:t xml:space="preserve"> </w:t>
      </w:r>
      <w:hyperlink r:id="rId101">
        <w:r>
          <w:rPr>
            <w:rStyle w:val="Hyperlink"/>
          </w:rPr>
          <w:t xml:space="preserve">doi.org/10.2307/2346806</w:t>
        </w:r>
      </w:hyperlink>
      <w:bookmarkEnd w:id="102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bookmarkStart w:id="104" w:name="r34"/>
      <w:r>
        <w:t xml:space="preserve">Wang, Y., Yu, Z., Zeng, Z., et al. (2024).</w:t>
      </w:r>
      <w:r>
        <w:t xml:space="preserve"> </w:t>
      </w:r>
      <w:r>
        <w:rPr>
          <w:i/>
          <w:iCs/>
        </w:rPr>
        <w:t xml:space="preserve">PandaLM: An Automatic Evaluation Benchmark for LLM</w:t>
      </w:r>
      <w:r>
        <w:rPr>
          <w:i/>
          <w:iCs/>
        </w:rPr>
        <w:t xml:space="preserve"> </w:t>
      </w:r>
      <w:r>
        <w:rPr>
          <w:i/>
          <w:iCs/>
        </w:rPr>
        <w:t xml:space="preserve">Instruction Tuning Optimization.</w:t>
      </w:r>
      <w:r>
        <w:t xml:space="preserve"> </w:t>
      </w:r>
      <w:r>
        <w:t xml:space="preserve">ICLR.</w:t>
      </w:r>
      <w:r>
        <w:t xml:space="preserve"> </w:t>
      </w:r>
      <w:hyperlink r:id="rId103">
        <w:r>
          <w:rPr>
            <w:rStyle w:val="Hyperlink"/>
          </w:rPr>
          <w:t xml:space="preserve">arxiv.org/abs/2306.05087</w:t>
        </w:r>
      </w:hyperlink>
      <w:bookmarkEnd w:id="104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bookmarkStart w:id="106" w:name="r35"/>
      <w:r>
        <w:t xml:space="preserve">Zhu, L., Wang, X., Wang, X. (2023).</w:t>
      </w:r>
      <w:r>
        <w:t xml:space="preserve"> </w:t>
      </w:r>
      <w:r>
        <w:rPr>
          <w:i/>
          <w:iCs/>
        </w:rPr>
        <w:t xml:space="preserve">JudgeLM: Fine-tuned Large Language Models are Scalable</w:t>
      </w:r>
      <w:r>
        <w:rPr>
          <w:i/>
          <w:iCs/>
        </w:rPr>
        <w:t xml:space="preserve"> </w:t>
      </w:r>
      <w:r>
        <w:rPr>
          <w:i/>
          <w:iCs/>
        </w:rPr>
        <w:t xml:space="preserve">Judges.</w:t>
      </w:r>
      <w:r>
        <w:t xml:space="preserve"> </w:t>
      </w:r>
      <w:hyperlink r:id="rId105">
        <w:r>
          <w:rPr>
            <w:rStyle w:val="Hyperlink"/>
          </w:rPr>
          <w:t xml:space="preserve">arxiv.org/abs/2310.17631</w:t>
        </w:r>
      </w:hyperlink>
      <w:bookmarkEnd w:id="106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bookmarkStart w:id="108" w:name="r36"/>
      <w:r>
        <w:t xml:space="preserve">Shi, W., Ajith, A., Xia, M., et al. (2024).</w:t>
      </w:r>
      <w:r>
        <w:t xml:space="preserve"> </w:t>
      </w:r>
      <w:r>
        <w:rPr>
          <w:i/>
          <w:iCs/>
        </w:rPr>
        <w:t xml:space="preserve">Detecting Pretraining Data from Large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Models.</w:t>
      </w:r>
      <w:r>
        <w:t xml:space="preserve"> </w:t>
      </w:r>
      <w:r>
        <w:t xml:space="preserve">ICLR.</w:t>
      </w:r>
      <w:r>
        <w:t xml:space="preserve"> </w:t>
      </w:r>
      <w:hyperlink r:id="rId107">
        <w:r>
          <w:rPr>
            <w:rStyle w:val="Hyperlink"/>
          </w:rPr>
          <w:t xml:space="preserve">arxiv.org/abs/2310.16789</w:t>
        </w:r>
      </w:hyperlink>
      <w:bookmarkEnd w:id="108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bookmarkStart w:id="110" w:name="r37"/>
      <w:r>
        <w:t xml:space="preserve">Fabbri, A. R., Kryściński, W., McCann, B., Xiong, C., Socher, R., Radev, D. (2021).</w:t>
      </w:r>
      <w:r>
        <w:t xml:space="preserve"> </w:t>
      </w:r>
      <w:r>
        <w:rPr>
          <w:i/>
          <w:iCs/>
        </w:rPr>
        <w:t xml:space="preserve">SummEval: Re-evaluating Summarization Evaluation.</w:t>
      </w:r>
      <w:r>
        <w:t xml:space="preserve"> </w:t>
      </w:r>
      <w:r>
        <w:t xml:space="preserve">Transactions of the Association for Computational</w:t>
      </w:r>
      <w:r>
        <w:t xml:space="preserve"> </w:t>
      </w:r>
      <w:r>
        <w:t xml:space="preserve">Linguistics, 9, 391–409.</w:t>
      </w:r>
      <w:r>
        <w:t xml:space="preserve"> </w:t>
      </w:r>
      <w:hyperlink r:id="rId109">
        <w:r>
          <w:rPr>
            <w:rStyle w:val="Hyperlink"/>
          </w:rPr>
          <w:t xml:space="preserve">arxiv.org/abs/2007.12626</w:t>
        </w:r>
      </w:hyperlink>
      <w:bookmarkEnd w:id="110"/>
    </w:p>
    <w:p>
      <w:pPr>
        <w:pStyle w:val="ReferenceEntry"/>
        <w:numPr>
          <w:ilvl w:val="0"/>
          <w:numId w:val="1002"/>
        </w:numPr>
        <w:spacing w:after="60"/>
        <w:ind w:left="360" w:hanging="259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bookmarkStart w:id="112" w:name="r38"/>
      <w:r>
        <w:t xml:space="preserve">Zeng, Z., Yu, J., Gao, T., Meng, Y., Goyal, T., Chen, D. (2024).</w:t>
      </w:r>
      <w:r>
        <w:t xml:space="preserve"> </w:t>
      </w:r>
      <w:r>
        <w:rPr>
          <w:i/>
          <w:iCs/>
        </w:rPr>
        <w:t xml:space="preserve">Evaluating Large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Models at Evaluating Instruction Following.</w:t>
      </w:r>
      <w:r>
        <w:t xml:space="preserve"> </w:t>
      </w:r>
      <w:r>
        <w:t xml:space="preserve">ICLR.</w:t>
      </w:r>
      <w:r>
        <w:t xml:space="preserve"> </w:t>
      </w:r>
      <w:hyperlink r:id="rId111">
        <w:r>
          <w:rPr>
            <w:rStyle w:val="Hyperlink"/>
          </w:rPr>
          <w:t xml:space="preserve">arxiv.org/abs/2310.07641</w:t>
        </w:r>
      </w:hyperlink>
      <w:bookmarkEnd w:id="112"/>
    </w:p>
    <w:bookmarkEnd w:id="113"/>
    <w:bookmarkStart w:id="114" w:name="appA"/>
    <w:p>
      <w:pPr>
        <w:pStyle w:val="Heading2"/>
        <w:keepNext/>
        <w:keepLines/>
        <w:widowControl w:val="1"/>
      </w:pPr>
      <w:r>
        <w:t xml:space="preserve">Appendix A. Statistical methods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appendix collects the estimator definitions used in the main text. CoEval reports the agreement of the judge</w:t>
      </w:r>
      <w:r>
        <w:t xml:space="preserve"> </w:t>
      </w:r>
      <w:r>
        <w:t xml:space="preserve">panel using intraclass correlation. For an average-measures design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judges, the ICC(3,k) reliability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M</m:t>
              </m:r>
              <m:r>
                <m:t>S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S</m:t>
              </m:r>
              <m:r>
                <m:t>E</m:t>
              </m:r>
            </m:num>
            <m:den>
              <m:r>
                <m:t>M</m:t>
              </m:r>
              <m:r>
                <m:t>S</m:t>
              </m:r>
              <m:r>
                <m:t>R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where</w:t>
      </w:r>
      <w:r>
        <w:t xml:space="preserve"> </w:t>
      </w:r>
      <m:oMath>
        <m:r>
          <m:t>M</m:t>
        </m:r>
        <m:r>
          <m:t>S</m:t>
        </m:r>
        <m:r>
          <m:t>R</m:t>
        </m:r>
      </m:oMath>
      <w:r>
        <w:t xml:space="preserve"> </w:t>
      </w:r>
      <w:r>
        <w:t xml:space="preserve">is the between-targets (rows) mean square and</w:t>
      </w:r>
      <w:r>
        <w:t xml:space="preserve"> </w:t>
      </w:r>
      <m:oMath>
        <m:r>
          <m:t>M</m:t>
        </m:r>
        <m:r>
          <m:t>S</m:t>
        </m:r>
        <m:r>
          <m:t>E</m:t>
        </m:r>
      </m:oMath>
      <w:r>
        <w:t xml:space="preserve"> </w:t>
      </w:r>
      <w:r>
        <w:t xml:space="preserve">the residual mean square. The gain from aggregating</w:t>
      </w:r>
      <w:r>
        <w:t xml:space="preserve"> </w:t>
      </w:r>
      <w:r>
        <w:t xml:space="preserve">more judges follows the</w:t>
      </w:r>
      <w:r>
        <w:t xml:space="preserve"> </w:t>
      </w:r>
      <w:r>
        <w:rPr>
          <w:b/>
          <w:bCs/>
        </w:rPr>
        <w:t xml:space="preserve">Spearman–Brown</w:t>
      </w:r>
      <w:r>
        <w:t xml:space="preserve"> </w:t>
      </w:r>
      <w:r>
        <w:t xml:space="preserve">prophecy relation: if</w:t>
      </w:r>
      <w:r>
        <w:t xml:space="preserve"> </w:t>
      </w: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 </w:t>
      </w:r>
      <w:r>
        <w:t xml:space="preserve">is the mean pairwise</w:t>
      </w:r>
      <w:r>
        <w:t xml:space="preserve"> </w:t>
      </w:r>
      <w:r>
        <w:t xml:space="preserve">inter-judge correlation, the reliability of a</w:t>
      </w:r>
      <w:r>
        <w:t xml:space="preserve"> </w:t>
      </w:r>
      <m:oMath>
        <m:r>
          <m:t>k</m:t>
        </m:r>
      </m:oMath>
      <w:r>
        <w:t xml:space="preserve">-judge mean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k</m:t>
              </m:r>
              <m:r>
                <m:t> 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For categorical agreement (e.g., pass/fail rubric criteria) CoEval reports Cohen's</w:t>
      </w:r>
      <w:r>
        <w:t xml:space="preserve"> </w:t>
      </w:r>
      <m:oMath>
        <m:r>
          <m:t>κ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is observed agreement 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the agreement expected by chance. To quantify residual bias and its</w:t>
      </w:r>
      <w:r>
        <w:t xml:space="preserve"> </w:t>
      </w:r>
      <w:r>
        <w:t xml:space="preserve">uncertainty, CoEval computes the Pearson correlation between a candidate confound (e.g., response length) and the</w:t>
      </w:r>
      <w:r>
        <w:t xml:space="preserve"> </w:t>
      </w:r>
      <w:r>
        <w:t xml:space="preserve">assigned score, with a</w:t>
      </w:r>
      <w:r>
        <w:t xml:space="preserve"> </w:t>
      </w:r>
      <w:r>
        <w:rPr>
          <w:b/>
          <w:bCs/>
        </w:rPr>
        <w:t xml:space="preserve">nonparametric bootstrap</w:t>
      </w:r>
      <w:r>
        <w:t xml:space="preserve"> </w:t>
      </w:r>
      <w:r>
        <w:t xml:space="preserve">confidence interval: the per-item (length, score)</w:t>
      </w:r>
      <w:r>
        <w:t xml:space="preserve"> </w:t>
      </w:r>
      <w:r>
        <w:t xml:space="preserve">pairs are resampled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times, the correlation is recomputed on each resample, and the</w:t>
      </w:r>
      <w:r>
        <w:t xml:space="preserve"> </w:t>
      </w:r>
      <m:oMath>
        <m:r>
          <m:t>2.5</m:t>
        </m:r>
      </m:oMath>
      <w:r>
        <w:t xml:space="preserve">th–</w:t>
      </w:r>
      <m:oMath>
        <m:r>
          <m:t>97.5</m:t>
        </m:r>
      </m:oMath>
      <w:r>
        <w:t xml:space="preserve">th percentiles of the bootstrap distribution form the reported 95% CI. A CI that includes zero</w:t>
      </w:r>
      <w:r>
        <w:t xml:space="preserve"> </w:t>
      </w:r>
      <w:r>
        <w:t xml:space="preserve">indicates that the corresponding bias is statistically indistinguishable from absent. Across the family of correlation</w:t>
      </w:r>
      <w:r>
        <w:t xml:space="preserve"> </w:t>
      </w:r>
      <w:r>
        <w:t xml:space="preserve">tests reported in Section 5 we control the false-discovery rate with the Benjamini–Hochberg procedure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and confidence intervals use a</w:t>
      </w:r>
      <w:r>
        <w:t xml:space="preserve"> </w:t>
      </w:r>
      <w:r>
        <w:rPr>
          <w:i/>
          <w:iCs/>
        </w:rPr>
        <w:t xml:space="preserve">datapoint-clustered</w:t>
      </w:r>
      <w:r>
        <w:t xml:space="preserve"> </w:t>
      </w:r>
      <w:r>
        <w:t xml:space="preserve">resample wherever observations are</w:t>
      </w:r>
      <w:r>
        <w:t xml:space="preserve"> </w:t>
      </w:r>
      <w:r>
        <w:t xml:space="preserve">nested (multiple student responses per item).</w:t>
      </w:r>
    </w:p>
    <w:bookmarkEnd w:id="114"/>
    <w:bookmarkStart w:id="118" w:name="appB"/>
    <w:p>
      <w:pPr>
        <w:pStyle w:val="Heading2"/>
        <w:keepNext/>
        <w:keepLines/>
        <w:widowControl w:val="1"/>
      </w:pPr>
      <w:r>
        <w:t xml:space="preserve">Appendix B. Rubric structure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CoEval generates a scoring rubric automatically per task. We examine whether these rubrics are appropriately</w:t>
      </w:r>
      <w:r>
        <w:t xml:space="preserve"> </w:t>
      </w:r>
      <w:r>
        <w:t xml:space="preserve">task-specialized while sharing a common quality core. Across the four tasks, the 22 auto-generated rubric criteria</w:t>
      </w:r>
      <w:r>
        <w:t xml:space="preserve"> </w:t>
      </w:r>
      <w:r>
        <w:t xml:space="preserve">exhibit a mean</w:t>
      </w:r>
      <w:r>
        <w:t xml:space="preserve"> </w:t>
      </w:r>
      <w:r>
        <w:rPr>
          <w:i/>
          <w:iCs/>
        </w:rPr>
        <w:t xml:space="preserve">within-task</w:t>
      </w:r>
      <w:r>
        <w:t xml:space="preserve"> </w:t>
      </w:r>
      <w:r>
        <w:t xml:space="preserve">semantic similarity of</w:t>
      </w:r>
      <w:r>
        <w:t xml:space="preserve"> </w:t>
      </w:r>
      <m:oMath>
        <m:r>
          <m:t>0.342</m:t>
        </m:r>
      </m:oMath>
      <w:r>
        <w:t xml:space="preserve">, exceeding the mean</w:t>
      </w:r>
      <w:r>
        <w:t xml:space="preserve"> </w:t>
      </w:r>
      <w:r>
        <w:rPr>
          <w:i/>
          <w:iCs/>
        </w:rPr>
        <w:t xml:space="preserve">cross-task</w:t>
      </w:r>
      <w:r>
        <w:t xml:space="preserve"> </w:t>
      </w:r>
      <w:r>
        <w:t xml:space="preserve">similarity</w:t>
      </w:r>
      <w:r>
        <w:t xml:space="preserve"> </w:t>
      </w:r>
      <w:r>
        <w:t xml:space="preserve">of</w:t>
      </w:r>
      <w:r>
        <w:t xml:space="preserve"> </w:t>
      </w:r>
      <m:oMath>
        <m:r>
          <m:t>0.294</m:t>
        </m:r>
      </m:oMath>
      <w:r>
        <w:t xml:space="preserve">: criteria cluster by task, as desired (Figure 3). At the same time, a shared universal</w:t>
      </w:r>
      <w:r>
        <w:t xml:space="preserve"> </w:t>
      </w:r>
      <w:r>
        <w:rPr>
          <w:i/>
          <w:iCs/>
        </w:rPr>
        <w:t xml:space="preserve">“completeness”</w:t>
      </w:r>
      <w:r>
        <w:t xml:space="preserve"> </w:t>
      </w:r>
      <w:r>
        <w:t xml:space="preserve">dimension recurs across three of the four tasks, indicating a common quality core.</w:t>
      </w:r>
      <w:r>
        <w:t xml:space="preserve"> </w:t>
      </w:r>
      <w:r>
        <w:t xml:space="preserve">CoEval's rubrics are thus specialized to each task's demands yet anchored by a transferable notion of answer quality.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736336" cy="4998720"/>
            <wp:effectExtent b="0" l="0" r="0" t="0"/>
            <wp:docPr descr="Heatmap of pairwise semantic similarity between auto-generated rubric criteria" title="" id="116" name="Picture"/>
            <a:graphic>
              <a:graphicData uri="http://schemas.openxmlformats.org/drawingml/2006/picture">
                <pic:pic>
                  <pic:nvPicPr>
                    <pic:cNvPr descr="figures/f5_rubric_heatmap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336" cy="499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Pairwise semantic similarity of the 22 auto-generated rubric criteria across four tasks. Block structure along the diagonal reflects task specialization (within-task 0.342 &gt; cross-task 0.294), while a recurring “completeness” dimension forms a cross-task cluster.</w:t>
      </w:r>
    </w:p>
    <w:bookmarkEnd w:id="118"/>
    <w:bookmarkStart w:id="119" w:name="appC"/>
    <w:p>
      <w:pPr>
        <w:pStyle w:val="Heading2"/>
        <w:keepNext/>
        <w:keepLines/>
        <w:widowControl w:val="1"/>
      </w:pPr>
      <w:r>
        <w:t xml:space="preserve">Appendix C. Worked examples on data-scarce domains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verticals of Section 5.4 are domains where a practitioner typically has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labeled</w:t>
      </w:r>
      <w:r>
        <w:t xml:space="preserve"> </w:t>
      </w:r>
      <w:r>
        <w:t xml:space="preserve">benchmark and no trustworthy public one: drug–drug interaction (DDI) reasoning, clinical decision support, and</w:t>
      </w:r>
      <w:r>
        <w:t xml:space="preserve"> </w:t>
      </w:r>
      <w:r>
        <w:t xml:space="preserve">legal analysis. The artifacts below are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output CoEval generated for each, from a single one-line</w:t>
      </w:r>
      <w:r>
        <w:t xml:space="preserve"> </w:t>
      </w:r>
      <w:r>
        <w:t xml:space="preserve">task description and with no human labels. From that description the teacher inferred the attribute strata, synthesized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contamination-free items stratified over them, and wrote a scoring rubric; the vendor-disjoint panel</w:t>
      </w:r>
      <w:r>
        <w:t xml:space="preserve"> </w:t>
      </w:r>
      <w:r>
        <w:t xml:space="preserve">(OpenAI + Anthropic + Google) then ranked three candidate models (Table G1).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pipeline is four templated calls to the teacher, all instantiated from the one-line</w:t>
      </w:r>
      <w:r>
        <w:t xml:space="preserve"> </w:t>
      </w:r>
      <w:r>
        <w:rPr>
          <w:rStyle w:val="VerbatimChar"/>
        </w:rPr>
        <w:t xml:space="preserve">task_description</w:t>
      </w:r>
      <w:r>
        <w:t xml:space="preserve"> </w:t>
      </w:r>
      <w:r>
        <w:t xml:space="preserve">(and an optional</w:t>
      </w:r>
      <w:r>
        <w:t xml:space="preserve"> </w:t>
      </w:r>
      <w:r>
        <w:rPr>
          <w:rStyle w:val="VerbatimChar"/>
        </w:rPr>
        <w:t xml:space="preserve">output_description</w:t>
      </w:r>
      <w:r>
        <w:t xml:space="preserve">). The first two build the attribute</w:t>
      </w:r>
      <w:r>
        <w:t xml:space="preserve"> </w:t>
      </w:r>
      <w:r>
        <w:t xml:space="preserve">space the items are stratified over; the third writes the rubric the panel scores against; the fourth generates one</w:t>
      </w:r>
      <w:r>
        <w:t xml:space="preserve"> </w:t>
      </w:r>
      <w:r>
        <w:t xml:space="preserve">contamination-free item per sampled attribute cell. The templates below are the verbatim framework prompts; a sampled</w:t>
      </w:r>
      <w:r>
        <w:t xml:space="preserve"> </w:t>
      </w:r>
      <w:r>
        <w:t xml:space="preserve">cell such as</w:t>
      </w:r>
      <w:r>
        <w:t xml:space="preserve"> </w:t>
      </w:r>
      <w:r>
        <w:rPr>
          <w:i/>
          <w:iCs/>
        </w:rPr>
        <w:t xml:space="preserve">severity = moderate, mechanism = pharmacokinetic, patient_context = pregnancy</w:t>
      </w:r>
      <w:r>
        <w:t xml:space="preserve"> </w:t>
      </w:r>
      <w:r>
        <w:t xml:space="preserve">is what binds</w:t>
      </w:r>
      <w:r>
        <w:t xml:space="preserve"> </w:t>
      </w:r>
      <w:r>
        <w:rPr>
          <w:rStyle w:val="VerbatimChar"/>
        </w:rPr>
        <w:t xml:space="preserve">{target_attributes}</w:t>
      </w:r>
      <w:r>
        <w:t xml:space="preserve"> </w:t>
      </w:r>
      <w:r>
        <w:t xml:space="preserve">and yields the corresponding DDI item shown after Table C1.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(1) Target-attribute map.</w:t>
      </w:r>
      <w:r>
        <w:t xml:space="preserve"> </w:t>
      </w:r>
      <w:r>
        <w:t xml:space="preserve">Define the axes the benchmark varies over.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rStyle w:val="VerbatimChar"/>
        </w:rPr>
        <w:t xml:space="preserve">Generate synthetic data specifications for the {task_description} task by defining an</w:t>
      </w:r>
      <w:r>
        <w:br/>
      </w:r>
      <w:r>
        <w:rPr>
          <w:rStyle w:val="VerbatimChar"/>
        </w:rPr>
        <w:t xml:space="preserve">attribute space that characterizes possible outputs. Return a JSON object mapping each</w:t>
      </w:r>
      <w:r>
        <w:br/>
      </w:r>
      <w:r>
        <w:rPr>
          <w:rStyle w:val="VerbatimChar"/>
        </w:rPr>
        <w:t xml:space="preserve">attribute name to a list of possible values, and output only the JSON.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(2) Nuance map.</w:t>
      </w:r>
      <w:r>
        <w:t xml:space="preserve"> </w:t>
      </w:r>
      <w:r>
        <w:t xml:space="preserve">Add surface-variation axes that change phrasing without changing the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rStyle w:val="VerbatimChar"/>
        </w:rPr>
        <w:t xml:space="preserve">Define synthetic data specifications for the {task_description} task by creating a nuanced</w:t>
      </w:r>
      <w:r>
        <w:br/>
      </w:r>
      <w:r>
        <w:rPr>
          <w:rStyle w:val="VerbatimChar"/>
        </w:rPr>
        <w:t xml:space="preserve">variability-focused attribute space. Include only attributes that change document phrasing,</w:t>
      </w:r>
      <w:r>
        <w:br/>
      </w:r>
      <w:r>
        <w:rPr>
          <w:rStyle w:val="VerbatimChar"/>
        </w:rPr>
        <w:t xml:space="preserve">structure, noise, and context, without changing the underlying outputs. Return a single JSON</w:t>
      </w:r>
      <w:r>
        <w:br/>
      </w:r>
      <w:r>
        <w:rPr>
          <w:rStyle w:val="VerbatimChar"/>
        </w:rPr>
        <w:t xml:space="preserve">object mapping each attribute name to a list of allowed values, and output only the JSON.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(3) Auto-rubric.</w:t>
      </w:r>
      <w:r>
        <w:t xml:space="preserve"> </w:t>
      </w:r>
      <w:r>
        <w:t xml:space="preserve">Write the task-specific scoring factors the judges apply.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rStyle w:val="VerbatimChar"/>
        </w:rPr>
        <w:t xml:space="preserve">For the task {task_description}, where the model's output is {output_description}, create an</w:t>
      </w:r>
      <w:r>
        <w:br/>
      </w:r>
      <w:r>
        <w:rPr>
          <w:rStyle w:val="VerbatimChar"/>
        </w:rPr>
        <w:t xml:space="preserve">evaluation rubric. Return only a JSON object where each key is a quality factor, and each</w:t>
      </w:r>
      <w:r>
        <w:br/>
      </w:r>
      <w:r>
        <w:rPr>
          <w:rStyle w:val="VerbatimChar"/>
        </w:rPr>
        <w:t xml:space="preserve">value is a concise description of that factor. Output only the JSON.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(4) Item synthesis.</w:t>
      </w:r>
      <w:r>
        <w:t xml:space="preserve"> </w:t>
      </w:r>
      <w:r>
        <w:t xml:space="preserve">Generate one realistic item for a sampled attribute cell.</w:t>
      </w:r>
    </w:p>
    <w:p>
      <w:pPr>
        <w:pStyle w:val="BodyText"/>
        <w:jc w:val="both"/>
        <w:keepNext w:val="0"/>
        <w:keepLines w:val="0"/>
        <w:widowControl w:val="1"/>
      </w:pPr>
      <w:r>
        <w:rPr>
          <w:rStyle w:val="VerbatimChar"/>
        </w:rPr>
        <w:t xml:space="preserve">Generate a realistic benchmark data point.</w:t>
      </w:r>
      <w:r>
        <w:br/>
      </w:r>
      <w:r>
        <w:rPr>
          <w:rStyle w:val="VerbatimChar"/>
        </w:rPr>
        <w:t xml:space="preserve">Task: {task_description}</w:t>
      </w:r>
      <w:r>
        <w:br/>
      </w:r>
      <w:r>
        <w:rPr>
          <w:rStyle w:val="VerbatimChar"/>
        </w:rPr>
        <w:t xml:space="preserve">Output format: {output_description}</w:t>
      </w:r>
      <w:r>
        <w:br/>
      </w:r>
      <w:r>
        <w:rPr>
          <w:rStyle w:val="VerbatimChar"/>
        </w:rPr>
        <w:t xml:space="preserve">Required attributes: {target_attributes}</w:t>
      </w:r>
      <w:r>
        <w:br/>
      </w:r>
      <w:r>
        <w:rPr>
          <w:rStyle w:val="VerbatimChar"/>
        </w:rPr>
        <w:t xml:space="preserve">Nuance: {nuanced_attributes}</w:t>
      </w:r>
      <w:r>
        <w:br/>
      </w:r>
      <w:r>
        <w:br/>
      </w:r>
      <w:r>
        <w:rPr>
          <w:rStyle w:val="VerbatimChar"/>
        </w:rPr>
        <w:t xml:space="preserve">Return only a JSON object with exactly two string keys:</w:t>
      </w:r>
      <w:r>
        <w:br/>
      </w:r>
      <w:r>
        <w:rPr>
          <w:rStyle w:val="VerbatimChar"/>
        </w:rPr>
        <w:t xml:space="preserve">  "prompt":   a realistic input text for the task</w:t>
      </w:r>
      <w:r>
        <w:br/>
      </w:r>
      <w:r>
        <w:rPr>
          <w:rStyle w:val="VerbatimChar"/>
        </w:rPr>
        <w:t xml:space="preserve">  "response": the expected output for that input</w:t>
      </w:r>
      <w:r>
        <w:br/>
      </w:r>
      <w:r>
        <w:rPr>
          <w:rStyle w:val="VerbatimChar"/>
        </w:rPr>
        <w:t xml:space="preserve">Output only the JSON. No explanation or markdown.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Running this pipeline on the three one-line seeds below produces the auto-generated attribute strata and rubrics in</w:t>
      </w:r>
      <w:r>
        <w:t xml:space="preserve"> </w:t>
      </w:r>
      <w:r>
        <w:t xml:space="preserve">Table C1, and the verbatim items that follow it.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C1.</w:t>
      </w:r>
      <w:r>
        <w:rPr>
          <w:b w:val="0"/>
          <w:i/>
        </w:rPr>
        <w:t xml:space="preserve"> </w:t>
      </w:r>
      <w:r>
        <w:rPr>
          <w:b w:val="0"/>
          <w:i/>
        </w:rPr>
        <w:t>From a one-line description to a scored benchmark, for three domains with no public labeled data. The attribute strata and rubric criteria are auto-generated by the teacher; each domain yields 40 stratified, contamination-free items, scored by the cross-family panel.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Caption w:val="Table C1. From a one-line description to a scored benchmark, for three domains with no public labeled data. The attribute strata and rubric criteria are auto-generated by the teacher; each domain yields 40 stratified, contamination-free items, scored by the cross-family panel.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Domain and one-line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Auto-generated attribute strata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Auto-generated rubric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Drug–drug interaction reasoning</w:t>
            </w:r>
            <w:r>
              <w:rPr>
                <w:rFonts w:ascii="Georgia" w:hAnsi="Georgia"/>
                <w:sz w:val="19"/>
              </w:rPr>
              <w:br/>
            </w:r>
            <w:r>
              <w:rPr>
                <w:rFonts w:ascii="Georgia" w:hAnsi="Georgia"/>
                <w:i/>
                <w:iCs/>
                <w:sz w:val="19"/>
              </w:rPr>
              <w:t xml:space="preserve">"given two or more co-administered drugs and a patient context, assess the interaction, its mechanism, severity, and clinical action"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severity {contraindicated, major, moderate, minor}; mechanism {pharmacokinetic, pharmacodynamic};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patient_context {renal, hepatic, polypharmacy-elderly, pregnancy}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interaction_accuracy, severity_correct, safety, completeness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Clinical reasoning</w:t>
            </w:r>
            <w:r>
              <w:rPr>
                <w:rFonts w:ascii="Georgia" w:hAnsi="Georgia"/>
                <w:sz w:val="19"/>
              </w:rPr>
              <w:br/>
            </w:r>
            <w:r>
              <w:rPr>
                <w:rFonts w:ascii="Georgia" w:hAnsi="Georgia"/>
                <w:i/>
                <w:iCs/>
                <w:sz w:val="19"/>
              </w:rPr>
              <w:t xml:space="preserve">"a clinical reasoning question a clinician would face, requiring medical knowledge and safe, accurate reasoning"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specialty {cardiology, infectious_disease, pediatrics, oncology, emergency}; difficulty {routine, intermediate, hard}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clinical_accuracy, safety, completeness, clarity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Legal analysis</w:t>
            </w:r>
            <w:r>
              <w:rPr>
                <w:rFonts w:ascii="Georgia" w:hAnsi="Georgia"/>
                <w:sz w:val="19"/>
              </w:rPr>
              <w:br/>
            </w:r>
            <w:r>
              <w:rPr>
                <w:rFonts w:ascii="Georgia" w:hAnsi="Georgia"/>
                <w:i/>
                <w:iCs/>
                <w:sz w:val="19"/>
              </w:rPr>
              <w:t xml:space="preserve">"a legal analysis question requiring identification of the relevant rule and correct application to the facts"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area_of_law {contracts, torts, criminal, constitutional, intellectual_property}; complexity {basic, intermediate, advanced}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legal_accuracy, reasoning_quality, completeness, clarity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representative</w:t>
      </w:r>
      <w:r>
        <w:t xml:space="preserve"> </w:t>
      </w:r>
      <w:r>
        <w:rPr>
          <w:i/>
          <w:iCs/>
        </w:rPr>
        <w:t xml:space="preserve">generated</w:t>
      </w:r>
      <w:r>
        <w:t xml:space="preserve"> </w:t>
      </w:r>
      <w:r>
        <w:t xml:space="preserve">item per domain (verbatim teacher output, labeled with its sampled attribute</w:t>
      </w:r>
      <w:r>
        <w:t xml:space="preserve"> </w:t>
      </w:r>
      <w:r>
        <w:t xml:space="preserve">cell), showing the synthesized items are specific and realistic rather than templated: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DDI</w:t>
      </w:r>
      <w:r>
        <w:t xml:space="preserve"> </w:t>
      </w:r>
      <w:r>
        <w:t xml:space="preserve">(severity = moderate, mechanism = pharmacokinetic, patient_context = pregnancy):</w:t>
      </w:r>
      <w:r>
        <w:t xml:space="preserve"> </w:t>
      </w:r>
      <w:r>
        <w:rPr>
          <w:i/>
          <w:iCs/>
        </w:rPr>
        <w:t xml:space="preserve">"A 30-year-old pregnant woman is prescribed lamotrigine for bipolar disorder and is also taking oral</w:t>
      </w:r>
      <w:r>
        <w:rPr>
          <w:i/>
          <w:iCs/>
        </w:rPr>
        <w:t xml:space="preserve"> </w:t>
      </w:r>
      <w:r>
        <w:rPr>
          <w:i/>
          <w:iCs/>
        </w:rPr>
        <w:t xml:space="preserve">contraceptives. Assess the drug–drug interaction between these medications, identify the mechanism, and provide</w:t>
      </w:r>
      <w:r>
        <w:rPr>
          <w:i/>
          <w:iCs/>
        </w:rPr>
        <w:t xml:space="preserve"> </w:t>
      </w:r>
      <w:r>
        <w:rPr>
          <w:i/>
          <w:iCs/>
        </w:rPr>
        <w:t xml:space="preserve">the severity and clinical recommendation."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Clinical</w:t>
      </w:r>
      <w:r>
        <w:t xml:space="preserve"> </w:t>
      </w:r>
      <w:r>
        <w:t xml:space="preserve">(specialty = cardiology, difficulty = routine):</w:t>
      </w:r>
      <w:r>
        <w:t xml:space="preserve"> </w:t>
      </w:r>
      <w:r>
        <w:rPr>
          <w:i/>
          <w:iCs/>
        </w:rPr>
        <w:t xml:space="preserve">"A 62-year-old male with a history of hypertension and hyperlipidemia presents with progressive shortness of</w:t>
      </w:r>
      <w:r>
        <w:rPr>
          <w:i/>
          <w:iCs/>
        </w:rPr>
        <w:t xml:space="preserve"> </w:t>
      </w:r>
      <w:r>
        <w:rPr>
          <w:i/>
          <w:iCs/>
        </w:rPr>
        <w:t xml:space="preserve">breath and occasional palpitations. On examination, you note elevated jugular venous pressure and a third heart</w:t>
      </w:r>
      <w:r>
        <w:rPr>
          <w:i/>
          <w:iCs/>
        </w:rPr>
        <w:t xml:space="preserve"> </w:t>
      </w:r>
      <w:r>
        <w:rPr>
          <w:i/>
          <w:iCs/>
        </w:rPr>
        <w:t xml:space="preserve">sound. An ECG shows left ventricular hypertrophy. What is the most likely diagnosis and what initial 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strategy should be considered?"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Legal</w:t>
      </w:r>
      <w:r>
        <w:t xml:space="preserve"> </w:t>
      </w:r>
      <w:r>
        <w:t xml:space="preserve">(area_of_law = torts, complexity = basic):</w:t>
      </w:r>
      <w:r>
        <w:t xml:space="preserve"> </w:t>
      </w:r>
      <w:r>
        <w:rPr>
          <w:i/>
          <w:iCs/>
        </w:rPr>
        <w:t xml:space="preserve">"Alice, while jogging in the park, trips over a tree root that has been exposed due to erosion and falls,</w:t>
      </w:r>
      <w:r>
        <w:rPr>
          <w:i/>
          <w:iCs/>
        </w:rPr>
        <w:t xml:space="preserve"> </w:t>
      </w:r>
      <w:r>
        <w:rPr>
          <w:i/>
          <w:iCs/>
        </w:rPr>
        <w:t xml:space="preserve">breaking her wrist. The park is owned by the city, and Alice claims the city is liable for her injuries due to</w:t>
      </w:r>
      <w:r>
        <w:rPr>
          <w:i/>
          <w:iCs/>
        </w:rPr>
        <w:t xml:space="preserve"> </w:t>
      </w:r>
      <w:r>
        <w:rPr>
          <w:i/>
          <w:iCs/>
        </w:rPr>
        <w:t xml:space="preserve">negligence. Identify the relevant rule and determine if Alice can successfully hold the city liable."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item is scored on its rubric by the panel, producing the rankings in Table G1. On DDI the three judges are</w:t>
      </w:r>
      <w:r>
        <w:t xml:space="preserve"> </w:t>
      </w:r>
      <w:r>
        <w:t xml:space="preserve">unanimous,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(</w:t>
      </w:r>
      <m:oMath>
        <m:r>
          <m:t>0.770</m:t>
        </m:r>
      </m:oMath>
      <w:r>
        <w:t xml:space="preserve">) &gt;</w:t>
      </w:r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(</w:t>
      </w:r>
      <m:oMath>
        <m:r>
          <m:t>0.682</m:t>
        </m:r>
      </m:oMath>
      <w:r>
        <w:t xml:space="preserve">) &gt;</w:t>
      </w:r>
      <w:r>
        <w:t xml:space="preserve"> </w:t>
      </w:r>
      <w:r>
        <w:rPr>
          <w:rStyle w:val="VerbatimChar"/>
        </w:rPr>
        <w:t xml:space="preserve">llama-3.2-3b</w:t>
      </w:r>
      <w:r>
        <w:t xml:space="preserve"> </w:t>
      </w:r>
      <w:r>
        <w:t xml:space="preserve">(</w:t>
      </w:r>
      <m:oMath>
        <m:r>
          <m:t>0.497</m:t>
        </m:r>
      </m:oMath>
      <w:r>
        <w:t xml:space="preserve">), with non-overlapping confidence intervals; on clinical reasoning the two stronger</w:t>
      </w:r>
      <w:r>
        <w:t xml:space="preserve"> </w:t>
      </w:r>
      <w:r>
        <w:t xml:space="preserve">models are statistically close (</w:t>
      </w:r>
      <m:oMath>
        <m:r>
          <m:t>0.873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0.864</m:t>
        </m:r>
      </m:oMath>
      <w:r>
        <w:t xml:space="preserve">), which the overlapping intervals correctly expose. The entire path</w:t>
      </w:r>
      <w:r>
        <w:t xml:space="preserve"> </w:t>
      </w:r>
      <w:r>
        <w:t xml:space="preserve">from a one-line description to a defensible, contamination-free ranking is a single configuration file with no labeled</w:t>
      </w:r>
      <w:r>
        <w:t xml:space="preserve"> </w:t>
      </w:r>
      <w:r>
        <w:t xml:space="preserve">data and no human raters.</w:t>
      </w:r>
    </w:p>
    <w:bookmarkEnd w:id="119"/>
    <w:bookmarkStart w:id="120" w:name="appD"/>
    <w:p>
      <w:pPr>
        <w:pStyle w:val="Heading2"/>
        <w:keepNext/>
        <w:keepLines/>
        <w:widowControl w:val="1"/>
      </w:pPr>
      <w:r>
        <w:t xml:space="preserve">Appendix D. Rankings are domain-specific: why a generic leaderboard misleads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case studies above rank models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one domain. The premise of a custom-evaluation tool is that this</w:t>
      </w:r>
      <w:r>
        <w:t xml:space="preserve"> </w:t>
      </w:r>
      <w:r>
        <w:t xml:space="preserve">is necessary: the best model for one domain need not be the best for another, so a single public leaderboard, which</w:t>
      </w:r>
      <w:r>
        <w:t xml:space="preserve"> </w:t>
      </w:r>
      <w:r>
        <w:t xml:space="preserve">pools tasks into one number, can send a practitioner to the wrong model. We test this directly. From four one-line</w:t>
      </w:r>
      <w:r>
        <w:t xml:space="preserve"> </w:t>
      </w:r>
      <w:r>
        <w:t xml:space="preserve">descriptions,</w:t>
      </w:r>
      <w:r>
        <w:t xml:space="preserve"> </w:t>
      </w:r>
      <w:r>
        <w:rPr>
          <w:i/>
          <w:iCs/>
        </w:rPr>
        <w:t xml:space="preserve">math word problems</w:t>
      </w:r>
      <w:r>
        <w:t xml:space="preserve">,</w:t>
      </w:r>
      <w:r>
        <w:t xml:space="preserve"> </w:t>
      </w:r>
      <w:r>
        <w:rPr>
          <w:i/>
          <w:iCs/>
        </w:rPr>
        <w:t xml:space="preserve">code explanation</w:t>
      </w:r>
      <w:r>
        <w:t xml:space="preserve">,</w:t>
      </w:r>
      <w:r>
        <w:t xml:space="preserve"> </w:t>
      </w:r>
      <w:r>
        <w:rPr>
          <w:i/>
          <w:iCs/>
        </w:rPr>
        <w:t xml:space="preserve">clinical reasoning</w:t>
      </w:r>
      <w:r>
        <w:t xml:space="preserve">, and</w:t>
      </w:r>
      <w:r>
        <w:t xml:space="preserve"> </w:t>
      </w:r>
      <w:r>
        <w:rPr>
          <w:i/>
          <w:iCs/>
        </w:rPr>
        <w:t xml:space="preserve">legal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  <w:r>
        <w:t xml:space="preserve">, CoEval generated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contamination-free items each (</w:t>
      </w:r>
      <m:oMath>
        <m:r>
          <m:t>100</m:t>
        </m:r>
      </m:oMath>
      <w:r>
        <w:t xml:space="preserve"> </w:t>
      </w:r>
      <w:r>
        <w:t xml:space="preserve">items), six candidate models answered them,</w:t>
      </w:r>
      <w:r>
        <w:t xml:space="preserve"> </w:t>
      </w:r>
      <w:r>
        <w:t xml:space="preserve">and the same vendor-disjoint cross-family panel (OpenAI + Anthropic + Google) scored every</w:t>
      </w:r>
      <w:r>
        <w:t xml:space="preserve"> </w:t>
      </w:r>
      <w:r>
        <w:t xml:space="preserve">response: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800</m:t>
        </m:r>
      </m:oMath>
      <w:r>
        <w:t xml:space="preserve"> </w:t>
      </w:r>
      <w:r>
        <w:t xml:space="preserve">evaluations at full coverage, from one configuration file.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four per-domain rankings</w:t>
      </w:r>
      <w:r>
        <w:t xml:space="preserve"> </w:t>
      </w:r>
      <w:r>
        <w:rPr>
          <w:b/>
          <w:bCs/>
        </w:rPr>
        <w:t xml:space="preserve">disagree sharply</w:t>
      </w:r>
      <w:r>
        <w:t xml:space="preserve">. Three different models take first place across the four</w:t>
      </w:r>
      <w:r>
        <w:t xml:space="preserve"> </w:t>
      </w:r>
      <w:r>
        <w:t xml:space="preserve">domains, and each winner is stable under a bootstrap over items (</w:t>
      </w:r>
      <m:oMath>
        <m:r>
          <m:t>B</m:t>
        </m:r>
        <m:r>
          <m:rPr>
            <m:sty m:val="p"/>
          </m:rPr>
          <m:t>=</m:t>
        </m:r>
        <m:r>
          <m:t>2000</m:t>
        </m:r>
      </m:oMath>
      <w:r>
        <w:t xml:space="preserve">):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tops clinical</w:t>
      </w:r>
      <w:r>
        <w:t xml:space="preserve"> </w:t>
      </w:r>
      <w:r>
        <w:t xml:space="preserve">reasoning (top with probability</w:t>
      </w:r>
      <w:r>
        <w:t xml:space="preserve"> </w:t>
      </w:r>
      <m:oMath>
        <m:r>
          <m:t>0.88</m:t>
        </m:r>
      </m:oMath>
      <w:r>
        <w:t xml:space="preserve">) and code explanation (</w:t>
      </w:r>
      <m:oMath>
        <m:r>
          <m:t>0.60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gemini-flash</w:t>
      </w:r>
      <w:r>
        <w:t xml:space="preserve"> </w:t>
      </w:r>
      <w:r>
        <w:t xml:space="preserve">tops legal analysis</w:t>
      </w:r>
      <w:r>
        <w:t xml:space="preserve"> </w:t>
      </w:r>
      <w:r>
        <w:t xml:space="preserve">(</w:t>
      </w:r>
      <m:oMath>
        <m:r>
          <m:t>1.00</m:t>
        </m:r>
      </m:oMath>
      <w:r>
        <w:t xml:space="preserve">), and</w:t>
      </w:r>
      <w:r>
        <w:t xml:space="preserve"> </w:t>
      </w:r>
      <w:r>
        <w:rPr>
          <w:rStyle w:val="VerbatimChar"/>
        </w:rPr>
        <w:t xml:space="preserve">claude-3.5-haiku</w:t>
      </w:r>
      <w:r>
        <w:t xml:space="preserve"> </w:t>
      </w:r>
      <w:r>
        <w:t xml:space="preserve">tops math word problems (</w:t>
      </w:r>
      <m:oMath>
        <m:r>
          <m:t>0.85</m:t>
        </m:r>
      </m:oMath>
      <w:r>
        <w:t xml:space="preserve">). The movement is not confined to the lead: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falls from first on clinical reasoning to fifth of six on math (where it is top in only</w:t>
      </w:r>
      <w:r>
        <w:t xml:space="preserve"> </w:t>
      </w:r>
      <m:oMath>
        <m:r>
          <m:t>0.001</m:t>
        </m:r>
      </m:oMath>
      <w:r>
        <w:t xml:space="preserve"> </w:t>
      </w:r>
      <w:r>
        <w:t xml:space="preserve">of bootstrap draws), and</w:t>
      </w:r>
      <w:r>
        <w:t xml:space="preserve"> </w:t>
      </w:r>
      <w:r>
        <w:rPr>
          <w:rStyle w:val="VerbatimChar"/>
        </w:rPr>
        <w:t xml:space="preserve">claude-3.5-haiku</w:t>
      </w:r>
      <w:r>
        <w:t xml:space="preserve"> </w:t>
      </w:r>
      <w:r>
        <w:t xml:space="preserve">moves the opposite way, from first on math to fifth on</w:t>
      </w:r>
      <w:r>
        <w:t xml:space="preserve"> </w:t>
      </w:r>
      <w:r>
        <w:t xml:space="preserve">code (Table D1). The mean cross-domain rank agreement is low (Kendall </w:t>
      </w:r>
      <m:oMath>
        <m:r>
          <m:t>τ</m:t>
        </m:r>
        <m:r>
          <m:rPr>
            <m:sty m:val="p"/>
          </m:rPr>
          <m:t>=</m:t>
        </m:r>
        <m:r>
          <m:t>0.19</m:t>
        </m:r>
      </m:oMath>
      <w:r>
        <w:t xml:space="preserve"> </w:t>
      </w:r>
      <w:r>
        <w:t xml:space="preserve">averaged over the six</w:t>
      </w:r>
      <w:r>
        <w:t xml:space="preserve"> </w:t>
      </w:r>
      <w:r>
        <w:t xml:space="preserve">domain pairs); the least-aligned pair, code explanation versus math word problems, has a negative point estimate</w:t>
      </w:r>
      <w:r>
        <w:t xml:space="preserve"> </w:t>
      </w:r>
      <w:r>
        <w:t xml:space="preserve">(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0.41</m:t>
        </m:r>
      </m:oMath>
      <w:r>
        <w:t xml:space="preserve">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is exactly the regret a generic leaderboard incurs. Pooling the four domains into one average ranks</w:t>
      </w:r>
      <w:r>
        <w:t xml:space="preserve"> </w:t>
      </w:r>
      <w:r>
        <w:rPr>
          <w:rStyle w:val="VerbatimChar"/>
        </w:rPr>
        <w:t xml:space="preserve">gemini-flash</w:t>
      </w:r>
      <w:r>
        <w:t xml:space="preserve"> </w:t>
      </w:r>
      <w:r>
        <w:t xml:space="preserve">first, but that model is the correct pick for only one of the four domains (legal analysis);</w:t>
      </w:r>
      <w:r>
        <w:t xml:space="preserve"> </w:t>
      </w:r>
      <w:r>
        <w:t xml:space="preserve">on clinical reasoning and code explanation the best model is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, and on math it is</w:t>
      </w:r>
      <w:r>
        <w:t xml:space="preserve"> </w:t>
      </w:r>
      <w:r>
        <w:rPr>
          <w:rStyle w:val="VerbatimChar"/>
        </w:rPr>
        <w:t xml:space="preserve">claude-3.5-haiku</w:t>
      </w:r>
      <w:r>
        <w:t xml:space="preserve">, which the pooled board ranks only third. A practitioner who reads the generic</w:t>
      </w:r>
      <w:r>
        <w:t xml:space="preserve"> </w:t>
      </w:r>
      <w:r>
        <w:t xml:space="preserve">leaderboard and deploys its top model is choosing the domain-best model in just one of four cases. CoEval removes the</w:t>
      </w:r>
      <w:r>
        <w:t xml:space="preserve"> </w:t>
      </w:r>
      <w:r>
        <w:t xml:space="preserve">guess: it ranks the candidates on the practitioner's own domain, contamination-free, with no labeled data.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D1.</w:t>
      </w:r>
      <w:r>
        <w:rPr>
          <w:b w:val="0"/>
          <w:i/>
        </w:rPr>
        <w:t xml:space="preserve"> </w:t>
      </w:r>
      <w:r>
        <w:rPr>
          <w:b w:val="0"/>
          <w:i/>
        </w:rPr>
        <w:t>The same six candidate models ranked by the same cross-family panel on four CoEval-generated domains diverge: each cell is the model's rank (1 = best) in that domain, rows ordered by the generic pooled leaderboard. Three distinct models win the four domains (highlighted), and the pooled-best model (gemini-flash) is domain-best in only one. gpt-4o-mini swings from 1st to 5th and claude-3.5-haiku from 5th to 1st across domains.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D1. The same six candidate models ranked by the same cross-family panel on four CoEval-generated domains diverge: each cell is the model's rank (1 = best) in that domain, rows ordered by the generic pooled leaderboard. Three distinct models win the four domains (highlighted), and the pooled-best model (gemini-flash) is domain-best in only one. gpt-4o-mini swings from 1st to 5th and claude-3.5-haiku from 5th to 1st across domai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Pooled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Clinical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Legal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Math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Style w:val="VerbatimChar"/>
                <w:rFonts w:ascii="Georgia" w:hAnsi="Georgia"/>
                <w:sz w:val="19"/>
              </w:rPr>
              <w:t xml:space="preserve">gemini-flash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Style w:val="VerbatimChar"/>
                <w:rFonts w:ascii="Georgia" w:hAnsi="Georgia"/>
                <w:sz w:val="19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Style w:val="VerbatimChar"/>
                <w:rFonts w:ascii="Georgia" w:hAnsi="Georgia"/>
                <w:sz w:val="19"/>
              </w:rPr>
              <w:t xml:space="preserve">claude-3.5-haiku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Style w:val="VerbatimChar"/>
                <w:rFonts w:ascii="Georgia" w:hAnsi="Georgia"/>
                <w:sz w:val="19"/>
              </w:rPr>
              <w:t xml:space="preserve">qwen-2.5-7b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Style w:val="VerbatimChar"/>
                <w:rFonts w:ascii="Georgia" w:hAnsi="Georgia"/>
                <w:sz w:val="19"/>
              </w:rPr>
              <w:t xml:space="preserve">llama-3.1-8b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Style w:val="VerbatimChar"/>
                <w:rFonts w:ascii="Georgia" w:hAnsi="Georgia"/>
                <w:sz w:val="19"/>
              </w:rPr>
              <w:t xml:space="preserve">gpt-3.5-turbo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3</w:t>
            </w:r>
          </w:p>
        </w:tc>
      </w:tr>
    </w:tbl>
    <w:bookmarkEnd w:id="120"/>
    <w:bookmarkStart w:id="121" w:name="appE"/>
    <w:p>
      <w:pPr>
        <w:pStyle w:val="Heading2"/>
        <w:keepNext/>
        <w:keepLines/>
        <w:widowControl w:val="1"/>
      </w:pPr>
      <w:r>
        <w:t xml:space="preserve">Appendix E. Bias cancellation and cross-family self-preference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test whether the ensemble cancels verbosity bias (rewarding longer responses) on the four-task</w:t>
      </w:r>
      <w:r>
        <w:t xml:space="preserve"> </w:t>
      </w:r>
      <w:r>
        <w:rPr>
          <w:rStyle w:val="VerbatimChar"/>
        </w:rPr>
        <w:t xml:space="preserve">medium-benchmark</w:t>
      </w:r>
      <w:r>
        <w:t xml:space="preserve"> </w:t>
      </w:r>
      <w:r>
        <w:t xml:space="preserve">run. Per judge, length biases are of</w:t>
      </w:r>
      <w:r>
        <w:t xml:space="preserve"> </w:t>
      </w:r>
      <w:r>
        <w:rPr>
          <w:i/>
          <w:iCs/>
        </w:rPr>
        <w:t xml:space="preserve">mixed sign</w:t>
      </w:r>
      <w:r>
        <w:t xml:space="preserve">:</w:t>
      </w:r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penalizes length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0.177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smollm2-1.7b</w:t>
      </w:r>
      <w:r>
        <w:t xml:space="preserve"> </w:t>
      </w:r>
      <w:r>
        <w:t xml:space="preserve">rewards it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0.234</m:t>
        </m:r>
      </m:oMath>
      <w:r>
        <w:t xml:space="preserve">), with panel mean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|</m:t>
            </m:r>
            <m:r>
              <m:t>r</m:t>
            </m:r>
            <m:r>
              <m:rPr>
                <m:sty m:val="p"/>
              </m:rPr>
              <m:t>|</m:t>
            </m:r>
          </m:e>
        </m:bar>
        <m:r>
          <m:rPr>
            <m:sty m:val="p"/>
          </m:rPr>
          <m:t>=</m:t>
        </m:r>
        <m:r>
          <m:t>0.153</m:t>
        </m:r>
      </m:oMath>
      <w:r>
        <w:t xml:space="preserve"> </w:t>
      </w:r>
      <w:r>
        <w:t xml:space="preserve">and no judge length-neutral (Table E1). Averaging mixed-sign biases cancels</w:t>
      </w:r>
      <w:r>
        <w:t xml:space="preserve"> </w:t>
      </w:r>
      <w:r>
        <w:t xml:space="preserve">them: the</w:t>
      </w:r>
      <w:r>
        <w:t xml:space="preserve"> </w:t>
      </w:r>
      <w:r>
        <w:rPr>
          <w:b/>
          <w:bCs/>
        </w:rPr>
        <w:t xml:space="preserve">ensemble</w:t>
      </w:r>
      <w:r>
        <w:t xml:space="preserve"> </w:t>
      </w:r>
      <w:r>
        <w:t xml:space="preserve">length-score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0.010</m:t>
        </m:r>
      </m:oMath>
      <w:r>
        <w:t xml:space="preserve"> </w:t>
      </w:r>
      <w:r>
        <w:t xml:space="preserve">(95% bootstrap 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0.039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+</m:t>
        </m:r>
        <m:r>
          <m:t>0.057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spanning zero), a 93% reduction relative to the per-judge mean and statistically indistinguishable from length-neutral.</w:t>
      </w:r>
      <w:r>
        <w:t xml:space="preserve"> </w:t>
      </w:r>
      <w:r>
        <w:t xml:space="preserve">The cancellation comes from bias-sign diversity, which in this panel is correlated with vendor family, so vendor</w:t>
      </w:r>
      <w:r>
        <w:t xml:space="preserve"> </w:t>
      </w:r>
      <w:r>
        <w:t xml:space="preserve">diversity is a convenient, observable proxy for assembling judges whose idiosyncratic biases are unlikely to align.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E1.</w:t>
      </w:r>
      <w:r>
        <w:rPr>
          <w:b w:val="0"/>
          <w:i/>
        </w:rPr>
        <w:t xml:space="preserve"> </w:t>
      </w:r>
      <w:r>
        <w:rPr>
          <w:b w:val="0"/>
          <w:i/>
        </w:rPr>
        <w:t>Verbosity bias (Pearson r between response length and score) for representative individual judges versus the CoEval ensemble. Individual judges carry length biases of opposite sign that the ensemble cancels to a residual centered near zero.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E1. Verbosity bias (Pearson r between response length and score) for representative individual judges versus the CoEval ensemble. Individual judges carry length biases of opposite sign that the ensemble cancels to a residual centered near zero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Length-bias</w:t>
            </w:r>
            <w:r>
              <w:rPr>
                <w:rFonts w:ascii="Georgia" w:hAnsi="Georgia"/>
                <w:b/>
                <w:sz w:val="19"/>
              </w:rPr>
              <w:t xml:space="preserve"> </w:t>
            </w:r>
            <m:oMath>
              <m:r>
                <m:t>r</m:t>
              </m:r>
            </m:oMath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95% bootstrap CI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gpt-3.5-turbo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−0.177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n/a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SmolLM2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n/a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Panel 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|</m:t>
                  </m:r>
                  <m:r>
                    <m:t>r</m:t>
                  </m:r>
                  <m:r>
                    <m:rPr>
                      <m:sty m:val="p"/>
                    </m:rPr>
                    <m:t>|</m:t>
                  </m:r>
                </m:e>
              </m:bar>
            </m:oMath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0.153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n/a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CoEval ensemble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[−0.039, +0.057]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Recent work establishes that judge–generator relatedness inflates scores (</w:t>
      </w:r>
      <w:r>
        <w:rPr>
          <w:i/>
          <w:iCs/>
        </w:rPr>
        <w:t xml:space="preserve">Preference Leakage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];</w:t>
      </w:r>
      <w:r>
        <w:t xml:space="preserve"> </w:t>
      </w:r>
      <w:r>
        <w:rPr>
          <w:i/>
          <w:iCs/>
        </w:rPr>
        <w:t xml:space="preserve">Play Favorites</w:t>
      </w:r>
      <w:r>
        <w:t xml:space="preserve"> </w:t>
      </w:r>
      <w:r>
        <w:t xml:space="preserve">[</w:t>
      </w:r>
      <w:hyperlink w:anchor="r16">
        <w:r>
          <w:rPr>
            <w:rStyle w:val="Hyperlink"/>
          </w:rPr>
          <w:t xml:space="preserve">16</w:t>
        </w:r>
      </w:hyperlink>
      <w:r>
        <w:t xml:space="preserve">]). CoEval addresses this</w:t>
      </w:r>
      <w:r>
        <w:t xml:space="preserve"> </w:t>
      </w:r>
      <w:r>
        <w:rPr>
          <w:i/>
          <w:iCs/>
        </w:rPr>
        <w:t xml:space="preserve">structurally</w:t>
      </w:r>
      <w:r>
        <w:t xml:space="preserve">:</w:t>
      </w:r>
      <w:r>
        <w:t xml:space="preserve"> </w:t>
      </w:r>
      <w:r>
        <w:t xml:space="preserve">requiring the judge panel to be vendor-disjoint from the student under test precludes any model from scoring its own</w:t>
      </w:r>
      <w:r>
        <w:t xml:space="preserve"> </w:t>
      </w:r>
      <w:r>
        <w:t xml:space="preserve">family, so a same-family preference cannot enter the aggregate at all, regardless of its magnitude on any individual</w:t>
      </w:r>
      <w:r>
        <w:t xml:space="preserve"> </w:t>
      </w:r>
      <w:r>
        <w:t xml:space="preserve">model.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Measured directly, the residual same-family preference is small and inconsistent in sign. Using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as both a judge and a candidate in the verticals (Section 5.4), a difference-in-differences</w:t>
      </w:r>
      <w:r>
        <w:t xml:space="preserve"> </w:t>
      </w:r>
      <w:r>
        <w:t xml:space="preserve">that controls for a judge's overall harshness gives</w:t>
      </w:r>
      <w:r>
        <w:t xml:space="preserve"> </w:t>
      </w:r>
      <m:oMath>
        <m:r>
          <m:rPr>
            <m:sty m:val="p"/>
          </m:rPr>
          <m:t>+</m:t>
        </m:r>
        <m:r>
          <m:t>0.04</m:t>
        </m:r>
      </m:oMath>
      <w:r>
        <w:t xml:space="preserve"> </w:t>
      </w:r>
      <w:r>
        <w:t xml:space="preserve">on clinical reasoning (95% 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0.08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legal, and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</m:oMath>
      <w:r>
        <w:t xml:space="preserve"> </w:t>
      </w:r>
      <w:r>
        <w:t xml:space="preserve">on drug-interaction: no systematic self-inflation survives. As an explicit safeguard,</w:t>
      </w:r>
      <w:r>
        <w:t xml:space="preserve"> </w:t>
      </w:r>
      <w:r>
        <w:rPr>
          <w:i/>
          <w:iCs/>
        </w:rPr>
        <w:t xml:space="preserve">vendor-disjoint aggregation</w:t>
      </w:r>
      <w:r>
        <w:t xml:space="preserve"> </w:t>
      </w:r>
      <w:r>
        <w:t xml:space="preserve">(when scoring a model, dropping any judge sharing its vendor family) leaves every</w:t>
      </w:r>
      <w:r>
        <w:t xml:space="preserve"> </w:t>
      </w:r>
      <w:r>
        <w:t xml:space="preserve">ranking in Table 1 and Table G1 unchanged, with per-model scores shifting by at most</w:t>
      </w:r>
      <w:r>
        <w:t xml:space="preserve"> </w:t>
      </w:r>
      <m:oMath>
        <m:r>
          <m:t>0.016</m:t>
        </m:r>
      </m:oMath>
      <w:r>
        <w:t xml:space="preserve">, confirming the</w:t>
      </w:r>
      <w:r>
        <w:t xml:space="preserve"> </w:t>
      </w:r>
      <w:r>
        <w:t xml:space="preserve">cross-family rankings are already robust to same-family bias.</w:t>
      </w:r>
    </w:p>
    <w:bookmarkEnd w:id="121"/>
    <w:bookmarkStart w:id="125" w:name="appF"/>
    <w:p>
      <w:pPr>
        <w:pStyle w:val="Heading2"/>
        <w:keepNext/>
        <w:keepLines/>
        <w:widowControl w:val="1"/>
      </w:pPr>
      <w:r>
        <w:t xml:space="preserve">Appendix F. System overview and experimental configuration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 4 shows the end-to-end CoEval pipeline, and Table F1 records the per-experiment configurations (tasks,</w:t>
      </w:r>
      <w:r>
        <w:t xml:space="preserve"> </w:t>
      </w:r>
      <w:r>
        <w:t xml:space="preserve">judge panels, and sample sizes) underlying the results in Section 5.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920171"/>
            <wp:effectExtent b="0" l="0" r="0" t="0"/>
            <wp:docPr descr="CoEval five-phase pipeline with teacher, student, and judge role bands" title="" id="123" name="Picture"/>
            <a:graphic>
              <a:graphicData uri="http://schemas.openxmlformats.org/drawingml/2006/picture">
                <pic:pic>
                  <pic:nvPicPr>
                    <pic:cNvPr descr="figures/f1_architecture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20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The CoEval pipeline. A single pool of models rotates through three roles: teachers map attributes, construct rubrics, and generate fresh benchmark items (Phases 1–3); students produce candidate responses (Phase 4); and a cross-family judge ensemble scores them (Phase 5). The entire run is specified in one declarative configuration.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F1.</w:t>
      </w:r>
      <w:r>
        <w:rPr>
          <w:b w:val="0"/>
          <w:i/>
        </w:rPr>
        <w:t xml:space="preserve"> </w:t>
      </w:r>
      <w:r>
        <w:rPr>
          <w:b w:val="0"/>
          <w:i/>
        </w:rPr>
        <w:t>Experimental configurations. Judge panels differ by experiment: the ground-truth anchor (Section 5.1) uses a frontier cross-family panel; the reliability and bias studies (Section 5.2, Appendix E) use a deliberately heterogeneous panel that includes weak open-weight judges; and the verticals (Section 5.4, Appendix D) reuse one fixed cross-family panel. All students are gpt-4o-mini, gpt-3.5-turbo, and llama-3.2-3b unless noted.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F1. Experimental configurations. Judge panels differ by experiment: the ground-truth anchor (Section 5.1) uses a frontier cross-family panel; the reliability and bias studies (Section 5.2, Appendix E) use a deliberately heterogeneous panel that includes weak open-weight judges; and the verticals (Section 5.4, Appendix D) reuse one fixed cross-family panel. All students are gpt-4o-mini, gpt-3.5-turbo, and llama-3.2-3b unless not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Experiment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Task(s)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Judge panel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Size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5.1 ground truth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SciQ, ARC (exact-match QA)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gpt-4o, claude-sonnet-4, gemini-2.5-flash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191 items / 573 resp.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5.2 reliability (5.1 summ. anchor)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code (BLEU), news + text summ. (BERTScore)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gpt-4o-mini, gpt-3.5-turbo, claude-haiku, gemini-flash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3 tasks / 900 resp.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5.2 + App. E, App. B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4-task medium study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gpt-4o-mini, gpt-3.5-turbo, qwen2.5-1.5b, smollm2-1.7b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7,978 eval.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5.4 verticals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drug-interaction, clinical, legal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claude-haiku, gemini-flash, 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40 items each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5.3 contamination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SciQ memorization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exact-match (no LLM judge)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200 memorized / 100 fresh</w:t>
            </w:r>
          </w:p>
        </w:tc>
      </w:tr>
    </w:tbl>
    <w:bookmarkEnd w:id="125"/>
    <w:bookmarkStart w:id="126" w:name="appG"/>
    <w:p>
      <w:pPr>
        <w:pStyle w:val="Heading2"/>
        <w:keepNext/>
        <w:keepLines/>
        <w:widowControl w:val="1"/>
      </w:pPr>
      <w:r>
        <w:t xml:space="preserve">Appendix G. Domain case studies (full results)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preceding sections validate CoEval's components where ground truth is available. We now exercise the complete tool</w:t>
      </w:r>
      <w:r>
        <w:t xml:space="preserve"> </w:t>
      </w:r>
      <w:r>
        <w:t xml:space="preserve">in its intended regime on three custom verticals,</w:t>
      </w:r>
      <w:r>
        <w:t xml:space="preserve"> </w:t>
      </w:r>
      <w:r>
        <w:rPr>
          <w:i/>
          <w:iCs/>
        </w:rPr>
        <w:t xml:space="preserve">drug–drug interaction reasoning</w:t>
      </w:r>
      <w:r>
        <w:t xml:space="preserve">,</w:t>
      </w:r>
      <w:r>
        <w:t xml:space="preserve"> </w:t>
      </w:r>
      <w:r>
        <w:rPr>
          <w:i/>
          <w:iCs/>
        </w:rPr>
        <w:t xml:space="preserve">clinical</w:t>
      </w:r>
      <w:r>
        <w:rPr>
          <w:i/>
          <w:iCs/>
        </w:rPr>
        <w:t xml:space="preserve"> </w:t>
      </w:r>
      <w:r>
        <w:rPr>
          <w:i/>
          <w:iCs/>
        </w:rPr>
        <w:t xml:space="preserve">reasoning</w:t>
      </w:r>
      <w:r>
        <w:t xml:space="preserve">, and</w:t>
      </w:r>
      <w:r>
        <w:t xml:space="preserve"> </w:t>
      </w:r>
      <w:r>
        <w:rPr>
          <w:i/>
          <w:iCs/>
        </w:rPr>
        <w:t xml:space="preserve">legal analysis</w:t>
      </w:r>
      <w:r>
        <w:t xml:space="preserve">, for which we assume no task-specific labeled data and no trustworthy</w:t>
      </w:r>
      <w:r>
        <w:t xml:space="preserve"> </w:t>
      </w:r>
      <w:r>
        <w:t xml:space="preserve">public benchmark. The drug-interaction vertical is the sharpest case for the framework's premise: a well-known public</w:t>
      </w:r>
      <w:r>
        <w:t xml:space="preserve"> </w:t>
      </w:r>
      <w:r>
        <w:t xml:space="preserve">benchmark exists (DDIExtraction-2013) but is a relation-</w:t>
      </w:r>
      <w:r>
        <w:rPr>
          <w:i/>
          <w:iCs/>
        </w:rPr>
        <w:t xml:space="preserve">extraction</w:t>
      </w:r>
      <w:r>
        <w:t xml:space="preserve"> </w:t>
      </w:r>
      <w:r>
        <w:t xml:space="preserve">corpus rather than clinical-decision</w:t>
      </w:r>
      <w:r>
        <w:t xml:space="preserve"> </w:t>
      </w:r>
      <w:r>
        <w:t xml:space="preserve">reasoning, and is old and freely available enough to be presumed present in pretraining, while the few clinically</w:t>
      </w:r>
      <w:r>
        <w:t xml:space="preserve"> </w:t>
      </w:r>
      <w:r>
        <w:t xml:space="preserve">realistic DDI-reasoning sets are private and number only in the hundreds of items. From a one-line description per</w:t>
      </w:r>
      <w:r>
        <w:t xml:space="preserve"> </w:t>
      </w:r>
      <w:r>
        <w:t xml:space="preserve">vertical, CoEval's teacher generated 40 attribute-stratified items (for drug interactions, stratified over severity,</w:t>
      </w:r>
      <w:r>
        <w:t xml:space="preserve"> </w:t>
      </w:r>
      <w:r>
        <w:t xml:space="preserve">mechanism, and patient context), three candidate models answered them, and the cross-family ensemble</w:t>
      </w:r>
      <w:r>
        <w:t xml:space="preserve"> </w:t>
      </w:r>
      <w:r>
        <w:t xml:space="preserve">(OpenAI + Anthropic + Google) scored every response, all from a single configuration file, with</w:t>
      </w:r>
      <w:r>
        <w:t xml:space="preserve"> </w:t>
      </w:r>
      <w:r>
        <w:t xml:space="preserve">no human labels or raters.</w:t>
      </w:r>
      <w:r>
        <w:t xml:space="preserve"> </w:t>
      </w:r>
      <w:hyperlink w:anchor="appC">
        <w:r>
          <w:rPr>
            <w:rStyle w:val="Hyperlink"/>
          </w:rPr>
          <w:t xml:space="preserve">Appendix C</w:t>
        </w:r>
      </w:hyperlink>
      <w:r>
        <w:t xml:space="preserve"> </w:t>
      </w:r>
      <w:r>
        <w:t xml:space="preserve">shows the actual generated artifacts for all three</w:t>
      </w:r>
      <w:r>
        <w:t xml:space="preserve"> </w:t>
      </w:r>
      <w:r>
        <w:t xml:space="preserve">domains: the one-line seed, the auto-generated attribute strata and rubric, and a representative synthesized item.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On the drug-interaction vertical CoEval produces a</w:t>
      </w:r>
      <w:r>
        <w:t xml:space="preserve"> </w:t>
      </w:r>
      <w:r>
        <w:rPr>
          <w:b/>
          <w:bCs/>
        </w:rPr>
        <w:t xml:space="preserve">clean, fully unanimous ranking</w:t>
      </w:r>
      <w:r>
        <w:t xml:space="preserve">: all three</w:t>
      </w:r>
      <w:r>
        <w:t xml:space="preserve"> </w:t>
      </w:r>
      <w:r>
        <w:t xml:space="preserve">cross-family judges agree on the complete order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 (</w:t>
      </w:r>
      <m:oMath>
        <m:r>
          <m:t>0.770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 (</w:t>
      </w:r>
      <m:oMath>
        <m:r>
          <m:t>0.682</m:t>
        </m:r>
      </m:oMath>
      <w:r>
        <w:t xml:space="preserve">)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llama-3.2-3b</w:t>
      </w:r>
      <w:r>
        <w:t xml:space="preserve"> (</w:t>
      </w:r>
      <m:oMath>
        <m:r>
          <m:t>0.497</m:t>
        </m:r>
      </m:oMath>
      <w:r>
        <w:t xml:space="preserve">), with non-overlapping confidence intervals separating every</w:t>
      </w:r>
      <w:r>
        <w:t xml:space="preserve"> </w:t>
      </w:r>
      <w:r>
        <w:t xml:space="preserve">model (Table G1). The clinical and legal verticals are consistent: the ensemble ranks the smallest model weakest in</w:t>
      </w:r>
      <w:r>
        <w:t xml:space="preserve"> </w:t>
      </w:r>
      <w:r>
        <w:t xml:space="preserve">both, unanimously in clinical and two-of-three in legal (where the Anthropic judge ranks</w:t>
      </w:r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lowest): genuine disagreement a single judge would hide and a diverse ensemble surfaces; on clinical the two</w:t>
      </w:r>
      <w:r>
        <w:t xml:space="preserve"> </w:t>
      </w:r>
      <w:r>
        <w:t xml:space="preserve">stronger models are statistically close, which the overlapping intervals correctly expose. This is the operation the</w:t>
      </w:r>
      <w:r>
        <w:t xml:space="preserve"> </w:t>
      </w:r>
      <w:r>
        <w:t xml:space="preserve">framework is built for: producing a defensible model ranking for a bespoke domain in which a standard benchmark is</w:t>
      </w:r>
      <w:r>
        <w:t xml:space="preserve"> </w:t>
      </w:r>
      <w:r>
        <w:t xml:space="preserve">unavailable or untrustworthy.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ranking is only possible if the items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the models, the generation-side analog of judge</w:t>
      </w:r>
      <w:r>
        <w:t xml:space="preserve"> </w:t>
      </w:r>
      <w:r>
        <w:t xml:space="preserve">discrimination: a good teacher writes questions on which candidates actually differ. We measure per-item</w:t>
      </w:r>
      <w:r>
        <w:t xml:space="preserve"> </w:t>
      </w:r>
      <w:r>
        <w:t xml:space="preserve">discriminativeness as the spread of candidate-model ensemble scores. Across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generated vertical items,</w:t>
      </w:r>
      <w:r>
        <w:t xml:space="preserve"> </w:t>
      </w:r>
      <m:oMath>
        <m:r>
          <m:t>71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discriminative</w:t>
      </w:r>
      <w:r>
        <w:t xml:space="preserve"> </w:t>
      </w:r>
      <w:r>
        <w:t xml:space="preserve">(a score range</w:t>
      </w:r>
      <w:r>
        <w:t xml:space="preserve"> </w:t>
      </w:r>
      <m:oMath>
        <m:r>
          <m:rPr>
            <m:sty m:val="p"/>
          </m:rPr>
          <m:t>≥</m:t>
        </m:r>
        <m:r>
          <m:t>0.15</m:t>
        </m:r>
      </m:oMath>
      <w:r>
        <w:t xml:space="preserve"> </w:t>
      </w:r>
      <w:r>
        <w:t xml:space="preserve">across the three models), with a mean per-item</w:t>
      </w:r>
      <w:r>
        <w:t xml:space="preserve"> </w:t>
      </w:r>
      <w:r>
        <w:t xml:space="preserve">range of</w:t>
      </w:r>
      <w:r>
        <w:t xml:space="preserve"> </w:t>
      </w:r>
      <m:oMath>
        <m:r>
          <m:t>0.33</m:t>
        </m:r>
      </m:oMath>
      <w:r>
        <w:t xml:space="preserve">; on drug-interaction and legal analysis the figure rises to</w:t>
      </w:r>
      <w:r>
        <w:t xml:space="preserve"> </w:t>
      </w:r>
      <m:oMath>
        <m:r>
          <m:t>78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85</m:t>
        </m:r>
        <m:r>
          <m:rPr>
            <m:sty m:val="p"/>
          </m:rPr>
          <m:t>%</m:t>
        </m:r>
      </m:oMath>
      <w:r>
        <w:t xml:space="preserve">. Where the items do not</w:t>
      </w:r>
      <w:r>
        <w:t xml:space="preserve"> </w:t>
      </w:r>
      <w:r>
        <w:t xml:space="preserve">separate the models they are honest about it: clinical reasoning is only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discriminative precisely because its</w:t>
      </w:r>
      <w:r>
        <w:t xml:space="preserve"> </w:t>
      </w:r>
      <w:r>
        <w:t xml:space="preserve">two stronger candidates are genuinely close (</w:t>
      </w:r>
      <m:oMath>
        <m:r>
          <m:t>0.873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0.864</m:t>
        </m:r>
      </m:oMath>
      <w:r>
        <w:t xml:space="preserve">), so the items reflect a real near-tie rather than</w:t>
      </w:r>
      <w:r>
        <w:t xml:space="preserve"> </w:t>
      </w:r>
      <w:r>
        <w:t xml:space="preserve">manufacturing a gap. This is why the panel yields non-overlapping ranking intervals: the teacher supplies items that</w:t>
      </w:r>
      <w:r>
        <w:t xml:space="preserve"> </w:t>
      </w:r>
      <w:r>
        <w:t xml:space="preserve">carry ranking signal, and a non-discriminative benchmark, on which every model scores alike, could not separate the</w:t>
      </w:r>
      <w:r>
        <w:t xml:space="preserve"> </w:t>
      </w:r>
      <w:r>
        <w:t xml:space="preserve">candidates no matter how reliable the judges are.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G1.</w:t>
      </w:r>
      <w:r>
        <w:rPr>
          <w:b w:val="0"/>
          <w:i/>
        </w:rPr>
        <w:t xml:space="preserve"> </w:t>
      </w:r>
      <w:r>
        <w:rPr>
          <w:b w:val="0"/>
          <w:i/>
        </w:rPr>
        <w:t>CoEval ranks three candidate models on three custom, contamination-free verticals generated from a task description with no labeled data. Scores are the cross-family ensemble mean ([0, 1]) with 95% bootstrap CI over 40 generated items. llama-3.2-3b ranks weakest in every vertical; the three judges agree unanimously on the full drug-interaction order, unanimously on the weakest clinical model, and two-of-three in legal.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G1. CoEval ranks three candidate models on three custom, contamination-free verticals generated from a task description with no labeled data. Scores are the cross-family ensemble mean ([0, 1]) with 95% bootstrap CI over 40 generated items. llama-3.2-3b ranks weakest in every vertical; the three judges agree unanimously on the full drug-interaction order, unanimously on the weakest clinical model, and two-of-three in legal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Vertical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CoEval score [95% CI]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Drug–drug interaction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0.770 [0.739, 0.800]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gpt-3.5-turbo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0.682 [0.646, 0.717]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llama-3.2-3b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0.497 [0.459, 0.532]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Clinical reasoning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gpt-3.5-turbo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0.873 [0.849, 0.895]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0.864 [0.840, 0.885]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llama-3.2-3b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0.814 [0.784, 0.844]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Legal analysis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0.982 [0.973, 0.991]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gpt-3.5-turbo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0.740 [0.709, 0.770]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llama-3.2-3b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0.709 [0.677, 0.744]</w:t>
            </w:r>
          </w:p>
        </w:tc>
      </w:tr>
    </w:tbl>
    <w:bookmarkEnd w:id="126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60" w:before="0" w:line="252" w:lineRule="auto"/>
      <w:ind w:left="403" w:hanging="403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2" Type="http://schemas.openxmlformats.org/officeDocument/2006/relationships/image" Target="media/rId122.png"/><Relationship Id="rId25" Type="http://schemas.openxmlformats.org/officeDocument/2006/relationships/image" Target="media/rId25.png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09" Type="http://schemas.openxmlformats.org/officeDocument/2006/relationships/hyperlink" Target="https://arxiv.org/abs/2007.12626" TargetMode="External"/><Relationship Id="rId63" Type="http://schemas.openxmlformats.org/officeDocument/2006/relationships/hyperlink" Target="https://arxiv.org/abs/2104.14337" TargetMode="External"/><Relationship Id="rId39" Type="http://schemas.openxmlformats.org/officeDocument/2006/relationships/hyperlink" Target="https://arxiv.org/abs/2303.16634" TargetMode="External"/><Relationship Id="rId103" Type="http://schemas.openxmlformats.org/officeDocument/2006/relationships/hyperlink" Target="https://arxiv.org/abs/2306.05087" TargetMode="External"/><Relationship Id="rId37" Type="http://schemas.openxmlformats.org/officeDocument/2006/relationships/hyperlink" Target="https://arxiv.org/abs/2306.05685" TargetMode="External"/><Relationship Id="rId77" Type="http://schemas.openxmlformats.org/officeDocument/2006/relationships/hyperlink" Target="https://arxiv.org/abs/2308.07201" TargetMode="External"/><Relationship Id="rId111" Type="http://schemas.openxmlformats.org/officeDocument/2006/relationships/hyperlink" Target="https://arxiv.org/abs/2310.07641" TargetMode="External"/><Relationship Id="rId107" Type="http://schemas.openxmlformats.org/officeDocument/2006/relationships/hyperlink" Target="https://arxiv.org/abs/2310.16789" TargetMode="External"/><Relationship Id="rId105" Type="http://schemas.openxmlformats.org/officeDocument/2006/relationships/hyperlink" Target="https://arxiv.org/abs/2310.17631" TargetMode="External"/><Relationship Id="rId81" Type="http://schemas.openxmlformats.org/officeDocument/2006/relationships/hyperlink" Target="https://arxiv.org/abs/2403.07974" TargetMode="External"/><Relationship Id="rId51" Type="http://schemas.openxmlformats.org/officeDocument/2006/relationships/hyperlink" Target="https://arxiv.org/abs/2404.04475" TargetMode="External"/><Relationship Id="rId45" Type="http://schemas.openxmlformats.org/officeDocument/2006/relationships/hyperlink" Target="https://arxiv.org/abs/2404.18796" TargetMode="External"/><Relationship Id="rId59" Type="http://schemas.openxmlformats.org/officeDocument/2006/relationships/hyperlink" Target="https://arxiv.org/abs/2405.00332" TargetMode="External"/><Relationship Id="rId41" Type="http://schemas.openxmlformats.org/officeDocument/2006/relationships/hyperlink" Target="https://arxiv.org/abs/2405.01535" TargetMode="External"/><Relationship Id="rId49" Type="http://schemas.openxmlformats.org/officeDocument/2006/relationships/hyperlink" Target="https://arxiv.org/abs/2406.05761" TargetMode="External"/><Relationship Id="rId79" Type="http://schemas.openxmlformats.org/officeDocument/2006/relationships/hyperlink" Target="https://arxiv.org/abs/2406.19314" TargetMode="External"/><Relationship Id="rId53" Type="http://schemas.openxmlformats.org/officeDocument/2006/relationships/hyperlink" Target="https://arxiv.org/abs/2407.08351" TargetMode="External"/><Relationship Id="rId43" Type="http://schemas.openxmlformats.org/officeDocument/2006/relationships/hyperlink" Target="https://arxiv.org/abs/2407.10817" TargetMode="External"/><Relationship Id="rId85" Type="http://schemas.openxmlformats.org/officeDocument/2006/relationships/hyperlink" Target="https://arxiv.org/abs/2408.08808" TargetMode="External"/><Relationship Id="rId69" Type="http://schemas.openxmlformats.org/officeDocument/2006/relationships/hyperlink" Target="https://arxiv.org/abs/2410.02736" TargetMode="External"/><Relationship Id="rId47" Type="http://schemas.openxmlformats.org/officeDocument/2006/relationships/hyperlink" Target="https://arxiv.org/abs/2410.12784" TargetMode="External"/><Relationship Id="rId71" Type="http://schemas.openxmlformats.org/officeDocument/2006/relationships/hyperlink" Target="https://arxiv.org/abs/2410.21819" TargetMode="External"/><Relationship Id="rId55" Type="http://schemas.openxmlformats.org/officeDocument/2006/relationships/hyperlink" Target="https://arxiv.org/abs/2410.22584" TargetMode="External"/><Relationship Id="rId73" Type="http://schemas.openxmlformats.org/officeDocument/2006/relationships/hyperlink" Target="https://arxiv.org/abs/2411.15594" TargetMode="External"/><Relationship Id="rId75" Type="http://schemas.openxmlformats.org/officeDocument/2006/relationships/hyperlink" Target="https://arxiv.org/abs/2411.16594" TargetMode="External"/><Relationship Id="rId97" Type="http://schemas.openxmlformats.org/officeDocument/2006/relationships/hyperlink" Target="https://arxiv.org/abs/2501.12789" TargetMode="External"/><Relationship Id="rId65" Type="http://schemas.openxmlformats.org/officeDocument/2006/relationships/hyperlink" Target="https://arxiv.org/abs/2502.01534" TargetMode="External"/><Relationship Id="rId61" Type="http://schemas.openxmlformats.org/officeDocument/2006/relationships/hyperlink" Target="https://arxiv.org/abs/2502.14425" TargetMode="External"/><Relationship Id="rId95" Type="http://schemas.openxmlformats.org/officeDocument/2006/relationships/hyperlink" Target="https://arxiv.org/abs/2502.14678" TargetMode="External"/><Relationship Id="rId99" Type="http://schemas.openxmlformats.org/officeDocument/2006/relationships/hyperlink" Target="https://arxiv.org/abs/2502.17521" TargetMode="External"/><Relationship Id="rId57" Type="http://schemas.openxmlformats.org/officeDocument/2006/relationships/hyperlink" Target="https://arxiv.org/abs/2504.01833" TargetMode="External"/><Relationship Id="rId83" Type="http://schemas.openxmlformats.org/officeDocument/2006/relationships/hyperlink" Target="https://arxiv.org/abs/2504.03846" TargetMode="External"/><Relationship Id="rId87" Type="http://schemas.openxmlformats.org/officeDocument/2006/relationships/hyperlink" Target="https://arxiv.org/abs/2504.17087" TargetMode="External"/><Relationship Id="rId67" Type="http://schemas.openxmlformats.org/officeDocument/2006/relationships/hyperlink" Target="https://arxiv.org/abs/2508.06709" TargetMode="External"/><Relationship Id="rId93" Type="http://schemas.openxmlformats.org/officeDocument/2006/relationships/hyperlink" Target="https://arxiv.org/abs/2601.21817" TargetMode="External"/><Relationship Id="rId89" Type="http://schemas.openxmlformats.org/officeDocument/2006/relationships/hyperlink" Target="https://arxiv.org/abs/2602.16610" TargetMode="External"/><Relationship Id="rId91" Type="http://schemas.openxmlformats.org/officeDocument/2006/relationships/hyperlink" Target="https://arxiv.org/abs/2603.00039" TargetMode="External"/><Relationship Id="rId101" Type="http://schemas.openxmlformats.org/officeDocument/2006/relationships/hyperlink" Target="https://doi.org/10.2307/2346806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arxiv.org/abs/2007.12626" TargetMode="External"/><Relationship Id="rId63" Type="http://schemas.openxmlformats.org/officeDocument/2006/relationships/hyperlink" Target="https://arxiv.org/abs/2104.14337" TargetMode="External"/><Relationship Id="rId39" Type="http://schemas.openxmlformats.org/officeDocument/2006/relationships/hyperlink" Target="https://arxiv.org/abs/2303.16634" TargetMode="External"/><Relationship Id="rId103" Type="http://schemas.openxmlformats.org/officeDocument/2006/relationships/hyperlink" Target="https://arxiv.org/abs/2306.05087" TargetMode="External"/><Relationship Id="rId37" Type="http://schemas.openxmlformats.org/officeDocument/2006/relationships/hyperlink" Target="https://arxiv.org/abs/2306.05685" TargetMode="External"/><Relationship Id="rId77" Type="http://schemas.openxmlformats.org/officeDocument/2006/relationships/hyperlink" Target="https://arxiv.org/abs/2308.07201" TargetMode="External"/><Relationship Id="rId111" Type="http://schemas.openxmlformats.org/officeDocument/2006/relationships/hyperlink" Target="https://arxiv.org/abs/2310.07641" TargetMode="External"/><Relationship Id="rId107" Type="http://schemas.openxmlformats.org/officeDocument/2006/relationships/hyperlink" Target="https://arxiv.org/abs/2310.16789" TargetMode="External"/><Relationship Id="rId105" Type="http://schemas.openxmlformats.org/officeDocument/2006/relationships/hyperlink" Target="https://arxiv.org/abs/2310.17631" TargetMode="External"/><Relationship Id="rId81" Type="http://schemas.openxmlformats.org/officeDocument/2006/relationships/hyperlink" Target="https://arxiv.org/abs/2403.07974" TargetMode="External"/><Relationship Id="rId51" Type="http://schemas.openxmlformats.org/officeDocument/2006/relationships/hyperlink" Target="https://arxiv.org/abs/2404.04475" TargetMode="External"/><Relationship Id="rId45" Type="http://schemas.openxmlformats.org/officeDocument/2006/relationships/hyperlink" Target="https://arxiv.org/abs/2404.18796" TargetMode="External"/><Relationship Id="rId59" Type="http://schemas.openxmlformats.org/officeDocument/2006/relationships/hyperlink" Target="https://arxiv.org/abs/2405.00332" TargetMode="External"/><Relationship Id="rId41" Type="http://schemas.openxmlformats.org/officeDocument/2006/relationships/hyperlink" Target="https://arxiv.org/abs/2405.01535" TargetMode="External"/><Relationship Id="rId49" Type="http://schemas.openxmlformats.org/officeDocument/2006/relationships/hyperlink" Target="https://arxiv.org/abs/2406.05761" TargetMode="External"/><Relationship Id="rId79" Type="http://schemas.openxmlformats.org/officeDocument/2006/relationships/hyperlink" Target="https://arxiv.org/abs/2406.19314" TargetMode="External"/><Relationship Id="rId53" Type="http://schemas.openxmlformats.org/officeDocument/2006/relationships/hyperlink" Target="https://arxiv.org/abs/2407.08351" TargetMode="External"/><Relationship Id="rId43" Type="http://schemas.openxmlformats.org/officeDocument/2006/relationships/hyperlink" Target="https://arxiv.org/abs/2407.10817" TargetMode="External"/><Relationship Id="rId85" Type="http://schemas.openxmlformats.org/officeDocument/2006/relationships/hyperlink" Target="https://arxiv.org/abs/2408.08808" TargetMode="External"/><Relationship Id="rId69" Type="http://schemas.openxmlformats.org/officeDocument/2006/relationships/hyperlink" Target="https://arxiv.org/abs/2410.02736" TargetMode="External"/><Relationship Id="rId47" Type="http://schemas.openxmlformats.org/officeDocument/2006/relationships/hyperlink" Target="https://arxiv.org/abs/2410.12784" TargetMode="External"/><Relationship Id="rId71" Type="http://schemas.openxmlformats.org/officeDocument/2006/relationships/hyperlink" Target="https://arxiv.org/abs/2410.21819" TargetMode="External"/><Relationship Id="rId55" Type="http://schemas.openxmlformats.org/officeDocument/2006/relationships/hyperlink" Target="https://arxiv.org/abs/2410.22584" TargetMode="External"/><Relationship Id="rId73" Type="http://schemas.openxmlformats.org/officeDocument/2006/relationships/hyperlink" Target="https://arxiv.org/abs/2411.15594" TargetMode="External"/><Relationship Id="rId75" Type="http://schemas.openxmlformats.org/officeDocument/2006/relationships/hyperlink" Target="https://arxiv.org/abs/2411.16594" TargetMode="External"/><Relationship Id="rId97" Type="http://schemas.openxmlformats.org/officeDocument/2006/relationships/hyperlink" Target="https://arxiv.org/abs/2501.12789" TargetMode="External"/><Relationship Id="rId65" Type="http://schemas.openxmlformats.org/officeDocument/2006/relationships/hyperlink" Target="https://arxiv.org/abs/2502.01534" TargetMode="External"/><Relationship Id="rId61" Type="http://schemas.openxmlformats.org/officeDocument/2006/relationships/hyperlink" Target="https://arxiv.org/abs/2502.14425" TargetMode="External"/><Relationship Id="rId95" Type="http://schemas.openxmlformats.org/officeDocument/2006/relationships/hyperlink" Target="https://arxiv.org/abs/2502.14678" TargetMode="External"/><Relationship Id="rId99" Type="http://schemas.openxmlformats.org/officeDocument/2006/relationships/hyperlink" Target="https://arxiv.org/abs/2502.17521" TargetMode="External"/><Relationship Id="rId57" Type="http://schemas.openxmlformats.org/officeDocument/2006/relationships/hyperlink" Target="https://arxiv.org/abs/2504.01833" TargetMode="External"/><Relationship Id="rId83" Type="http://schemas.openxmlformats.org/officeDocument/2006/relationships/hyperlink" Target="https://arxiv.org/abs/2504.03846" TargetMode="External"/><Relationship Id="rId87" Type="http://schemas.openxmlformats.org/officeDocument/2006/relationships/hyperlink" Target="https://arxiv.org/abs/2504.17087" TargetMode="External"/><Relationship Id="rId67" Type="http://schemas.openxmlformats.org/officeDocument/2006/relationships/hyperlink" Target="https://arxiv.org/abs/2508.06709" TargetMode="External"/><Relationship Id="rId93" Type="http://schemas.openxmlformats.org/officeDocument/2006/relationships/hyperlink" Target="https://arxiv.org/abs/2601.21817" TargetMode="External"/><Relationship Id="rId89" Type="http://schemas.openxmlformats.org/officeDocument/2006/relationships/hyperlink" Target="https://arxiv.org/abs/2602.16610" TargetMode="External"/><Relationship Id="rId91" Type="http://schemas.openxmlformats.org/officeDocument/2006/relationships/hyperlink" Target="https://arxiv.org/abs/2603.00039" TargetMode="External"/><Relationship Id="rId101" Type="http://schemas.openxmlformats.org/officeDocument/2006/relationships/hyperlink" Target="https://doi.org/10.2307/234680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2026-06-05T08:04:58Z</dcterms:created>
  <dcterms:modified xsi:type="dcterms:W3CDTF">2026-06-05T08:04:58Z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