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he6DYr/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CoReasoning is a decomposition and assessment of that shifting contribution.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he6DYr/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+0.21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2984601" cy="2507064"/>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2984601" cy="250706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38"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18"/>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18"/>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18"/>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18"/>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18"/>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18"/>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18"/>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18"/>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18"/>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18"/>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18"/>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18"/>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18"/>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18"/>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18"/>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18"/>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18"/>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18"/>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18"/>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18"/>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18"/>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18"/>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18"/>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18"/>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18"/>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18"/>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18"/>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18"/>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18"/>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18"/>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18"/>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18"/>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18"/>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18"/>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18"/>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18"/>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18"/>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18"/>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18"/>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18"/>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18"/>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18"/>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18"/>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18"/>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18"/>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18"/>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18"/>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18"/>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18"/>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18"/>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18"/>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18"/>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18"/>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18"/>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18"/>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18"/>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18"/>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18"/>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18"/>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18"/>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18"/>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18"/>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18"/>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18"/>
        </w:rPr>
        <w:t xml:space="preserve">66. </w:t>
      </w:r>
      <w:r>
        <w:t xml:space="preserve">UNESCO (2024). AI Competency Framework for Students.</w:t>
      </w:r>
      <w:r>
        <w:t xml:space="preserve"> </w:t>
      </w:r>
      <w:r>
        <w:rPr>
          <w:i/>
          <w:iCs/>
        </w:rPr>
        <w:t xml:space="preserve">UNESCO</w:t>
      </w:r>
      <w:r>
        <w:t xml:space="preserve">.</w:t>
      </w:r>
    </w:p>
    <w:bookmarkEnd w:id="38"/>
    <w:bookmarkStart w:id="48"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2984601" cy="2403411"/>
            <wp:effectExtent b="0" l="0" r="0" t="0"/>
            <wp:docPr descr="Figure A1. A CoReasoning Lab challenge run." title="" id="40" name="Picture"/>
            <a:graphic>
              <a:graphicData uri="http://schemas.openxmlformats.org/drawingml/2006/picture">
                <pic:pic>
                  <pic:nvPicPr>
                    <pic:cNvPr descr="assets/system-challenge-run.png" id="41" name="Picture"/>
                    <pic:cNvPicPr>
                      <a:picLocks noChangeArrowheads="1" noChangeAspect="1"/>
                    </pic:cNvPicPr>
                  </pic:nvPicPr>
                  <pic:blipFill>
                    <a:blip r:embed="rId39"/>
                    <a:stretch>
                      <a:fillRect/>
                    </a:stretch>
                  </pic:blipFill>
                  <pic:spPr bwMode="auto">
                    <a:xfrm>
                      <a:off x="0" y="0"/>
                      <a:ext cx="2984601" cy="24034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2984601" cy="2215840"/>
            <wp:effectExtent b="0" l="0" r="0" t="0"/>
            <wp:docPr descr="Figure A2. CoReasoning Lab instructor course analytics." title="" id="43" name="Picture"/>
            <a:graphic>
              <a:graphicData uri="http://schemas.openxmlformats.org/drawingml/2006/picture">
                <pic:pic>
                  <pic:nvPicPr>
                    <pic:cNvPr descr="assets/system-instructor-analytics.png" id="44" name="Picture"/>
                    <pic:cNvPicPr>
                      <a:picLocks noChangeArrowheads="1" noChangeAspect="1"/>
                    </pic:cNvPicPr>
                  </pic:nvPicPr>
                  <pic:blipFill>
                    <a:blip r:embed="rId42"/>
                    <a:stretch>
                      <a:fillRect/>
                    </a:stretch>
                  </pic:blipFill>
                  <pic:spPr bwMode="auto">
                    <a:xfrm>
                      <a:off x="0" y="0"/>
                      <a:ext cx="2984601" cy="22158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310742"/>
            <wp:effectExtent b="0" l="0" r="0" t="0"/>
            <wp:docPr descr="Figure A3. Auto-generation and assessment pipeline of the CoReasoning Lab engine." title="" id="46" name="Picture"/>
            <a:graphic>
              <a:graphicData uri="http://schemas.openxmlformats.org/drawingml/2006/picture">
                <pic:pic>
                  <pic:nvPicPr>
                    <pic:cNvPr descr="C:/Users/apart/AppData/Local/Temp/html2doc_svg_he6DYr/svg_2.png" id="47" name="Picture"/>
                    <pic:cNvPicPr>
                      <a:picLocks noChangeArrowheads="1" noChangeAspect="1"/>
                    </pic:cNvPicPr>
                  </pic:nvPicPr>
                  <pic:blipFill>
                    <a:blip r:embed="rId45"/>
                    <a:stretch>
                      <a:fillRect/>
                    </a:stretch>
                  </pic:blipFill>
                  <pic:spPr bwMode="auto">
                    <a:xfrm>
                      <a:off x="0" y="0"/>
                      <a:ext cx="6400800" cy="43107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8"/>
    <w:bookmarkStart w:id="49"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9"/>
    <w:bookmarkStart w:id="50"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5" Type="http://schemas.openxmlformats.org/officeDocument/2006/relationships/image" Target="media/rId45.png"/><Relationship Id="rId30" Type="http://schemas.openxmlformats.org/officeDocument/2006/relationships/image" Target="media/rId30.png"/><Relationship Id="rId27" Type="http://schemas.openxmlformats.org/officeDocument/2006/relationships/image" Target="media/rId27.png"/><Relationship Id="rId39" Type="http://schemas.openxmlformats.org/officeDocument/2006/relationships/image" Target="media/rId39.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2026-06-03T10:25:45Z</dcterms:created>
  <dcterms:modified xsi:type="dcterms:W3CDTF">2026-06-03T10:25:45Z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