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39.png" ContentType="image/png"/>
  <Override PartName="/word/media/rId36.png" ContentType="image/png"/>
  <Override PartName="/word/media/rId50.svg" ContentType="image/svg+xml"/>
  <Override PartName="/word/media/rId4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9dba699e1585523456db11bdab5d7e7e6909c23"/>
    <w:p>
      <w:pPr>
        <w:pStyle w:val="Heading1"/>
      </w:pPr>
      <w:r>
        <w:t xml:space="preserve">Framing, Judging, Steering: An Assessable Competency Model for Reasoning With Generative AI</w:t>
      </w:r>
    </w:p>
    <w:p>
      <w:pPr>
        <w:pStyle w:val="FirstParagraph"/>
      </w:pPr>
      <w:r>
        <w:rPr>
          <w:i/>
          <w:iCs/>
        </w:rPr>
        <w:t xml:space="preserve">Preprint. Open-source (MIT):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github.com/ApartsinProjects/CoReason</w:t>
        </w:r>
      </w:hyperlink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state five testable propositions about how</w:t>
      </w:r>
      <w:r>
        <w:t xml:space="preserve"> </w:t>
      </w:r>
      <w:r>
        <w:t xml:space="preserve">the skills relate, position the model against the nearest prior frameworks, and report a</w:t>
      </w:r>
      <w:r>
        <w:t xml:space="preserve"> </w:t>
      </w:r>
      <w:r>
        <w:t xml:space="preserve">proof-of-concept instrument together with a feasibility demonstration that the three skills</w:t>
      </w:r>
      <w:r>
        <w:t xml:space="preserve"> </w:t>
      </w:r>
      <w:r>
        <w:t xml:space="preserve">dissociate and can be measured automatically. We close with the tensions a mature account must</w:t>
      </w:r>
      <w:r>
        <w:t xml:space="preserve"> </w:t>
      </w:r>
      <w:r>
        <w:t xml:space="preserve">resolve and a concrete assessment-validation agenda.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introduction of generative AI into learning environments has, by default, optimized for the</w:t>
      </w:r>
      <w:r>
        <w:t xml:space="preserve"> </w:t>
      </w:r>
      <w:r>
        <w:t xml:space="preserve">wrong variable. Most AI-in-education tools shorten the path from question to answer. Yet the answer</w:t>
      </w:r>
      <w:r>
        <w:t xml:space="preserve"> </w:t>
      </w:r>
      <w:r>
        <w:t xml:space="preserve">was never the point of education: the cognitive work of specifying a problem, evaluating a candidate</w:t>
      </w:r>
      <w:r>
        <w:t xml:space="preserve"> </w:t>
      </w:r>
      <w:r>
        <w:t xml:space="preserve">solution, and improving it is where learning happens. When that work is delegated wholesale to a</w:t>
      </w:r>
      <w:r>
        <w:t xml:space="preserve"> </w:t>
      </w:r>
      <w:r>
        <w:t xml:space="preserve">machine, the learner is left with a correct artifact and an unchanged mind.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p>
      <w:pPr>
        <w:pStyle w:val="BodyText"/>
      </w:pPr>
      <w:r>
        <w:rPr>
          <w:b/>
          <w:bCs/>
        </w:rPr>
        <w:t xml:space="preserve">Availability.</w:t>
      </w:r>
      <w:r>
        <w:t xml:space="preserve"> </w:t>
      </w:r>
      <w:r>
        <w:t xml:space="preserve">The CoReasoning Lab system, the sixteen-prompt instrument, the controlled-generation</w:t>
      </w:r>
      <w:r>
        <w:t xml:space="preserve"> </w:t>
      </w:r>
      <w:r>
        <w:t xml:space="preserve">harness, the experiment data and figures, and the human-rater study package are open-source under the</w:t>
      </w:r>
      <w:r>
        <w:t xml:space="preserve"> </w:t>
      </w:r>
      <w:r>
        <w:t xml:space="preserve">MIT license at</w:t>
      </w:r>
      <w:r>
        <w:t xml:space="preserve"> </w:t>
      </w:r>
      <w:hyperlink r:id="rId20">
        <w:r>
          <w:rPr>
            <w:rStyle w:val="Hyperlink"/>
          </w:rPr>
          <w:t xml:space="preserve">https://github.com/ApartsinProjects/CoReason</w:t>
        </w:r>
      </w:hyperlink>
      <w:r>
        <w:t xml:space="preserve">.</w:t>
      </w:r>
    </w:p>
    <w:bookmarkEnd w:id="22"/>
    <w:bookmarkStart w:id="23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3"/>
    <w:bookmarkStart w:id="30" w:name="the-coreasoning-framework"/>
    <w:p>
      <w:pPr>
        <w:pStyle w:val="Heading2"/>
      </w:pPr>
      <w:r>
        <w:t xml:space="preserve">3. The CoReasoning framework</w:t>
      </w:r>
    </w:p>
    <w:bookmarkStart w:id="27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AI’s generative process is the object level the learner supervises: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5" name="Picture"/>
            <a:graphic>
              <a:graphicData uri="http://schemas.openxmlformats.org/drawingml/2006/picture">
                <pic:pic>
                  <pic:nvPicPr>
                    <pic:cNvPr descr="assets/coreasoning-architecture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7"/>
    <w:bookmarkStart w:id="28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8"/>
    <w:bookmarkStart w:id="29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9"/>
    <w:bookmarkEnd w:id="30"/>
    <w:bookmarkStart w:id="31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1"/>
    <w:bookmarkStart w:id="32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2"/>
    <w:bookmarkStart w:id="33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learner’s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3"/>
    <w:bookmarkStart w:id="34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is instantiated in a deployed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4"/>
    <w:bookmarkStart w:id="35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5"/>
    <w:bookmarkStart w:id="42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 (each learner is scored by up to seven grader calls, three</w:t>
      </w:r>
      <w:r>
        <w:t xml:space="preserve"> </w:t>
      </w:r>
      <w:r>
        <w:t xml:space="preserve">skill evaluators plus a grading pass each and one steering-update call, with identical inputs cached</w:t>
      </w:r>
      <w:r>
        <w:t xml:space="preserve"> </w:t>
      </w:r>
      <w:r>
        <w:t xml:space="preserve">across profiles).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−0.017</w:t>
      </w:r>
      <w:r>
        <w:t xml:space="preserve">, so own-skill effects exceed cross-skill</w:t>
      </w:r>
      <w:r>
        <w:t xml:space="preserve"> </w:t>
      </w:r>
      <w:r>
        <w:t xml:space="preserve">effects by more than an order of magnitude (about 60 to 1).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(+0.60, CI [+0.38, +0.81]) and Steering (+0.50, CI</w:t>
      </w:r>
      <w:r>
        <w:t xml:space="preserve"> </w:t>
      </w:r>
      <w:r>
        <w:t xml:space="preserve">[+0.18, +0.82]); Judging is deterministic by construction (+2.00). The same separation appears in the</w:t>
      </w:r>
      <w:r>
        <w:t xml:space="preserve"> </w:t>
      </w:r>
      <w:r>
        <w:t xml:space="preserve">inter-skill grade correlations across the 40 learners: Framing–Judging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,</w:t>
      </w:r>
      <w:r>
        <w:t xml:space="preserve"> </w:t>
      </w:r>
      <w:r>
        <w:t xml:space="preserve">Framing–Steering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, Judging–Steering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0.17</m:t>
        </m:r>
      </m:oMath>
      <w:r>
        <w:t xml:space="preserve">, none significant (all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0.17</m:t>
        </m:r>
      </m:oMath>
      <w:r>
        <w:t xml:space="preserve">),</w:t>
      </w:r>
      <w:r>
        <w:t xml:space="preserve"> </w:t>
      </w:r>
      <w:r>
        <w:t xml:space="preserve">and the first principal factor accounts for only 42% of the variance, far below the near-100% a single</w:t>
      </w:r>
      <w:r>
        <w:t xml:space="preserve"> </w:t>
      </w:r>
      <w:r>
        <w:t xml:space="preserve">“</w:t>
      </w:r>
      <w:r>
        <w:t xml:space="preserve">AI-use ability</w:t>
      </w:r>
      <w:r>
        <w:t xml:space="preserve">”</w:t>
      </w:r>
      <w:r>
        <w:t xml:space="preserve"> </w:t>
      </w:r>
      <w:r>
        <w:t xml:space="preserve">account would predict.</w:t>
      </w:r>
    </w:p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7" name="Picture"/>
            <a:graphic>
              <a:graphicData uri="http://schemas.openxmlformats.org/drawingml/2006/picture">
                <pic:pic>
                  <pic:nvPicPr>
                    <pic:cNvPr descr="assets/fig_dissociation_heatma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40" name="Picture"/>
            <a:graphic>
              <a:graphicData uri="http://schemas.openxmlformats.org/drawingml/2006/picture">
                <pic:pic>
                  <pic:nvPicPr>
                    <pic:cNvPr descr="assets/fig_contras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(+0.50); Figure</w:t>
      </w:r>
      <w:r>
        <w:t xml:space="preserve"> </w:t>
      </w:r>
      <w:r>
        <w:t xml:space="preserve">3 indicates a grader-leniency floor, weak steering is seldom graded all the way to C, which compresses</w:t>
      </w:r>
      <w:r>
        <w:t xml:space="preserve"> </w:t>
      </w:r>
      <w:r>
        <w:t xml:space="preserve">the effect. This is partly an instrument artifact (the steering evaluator is lenient and would benefit</w:t>
      </w:r>
      <w:r>
        <w:t xml:space="preserve"> </w:t>
      </w:r>
      <w:r>
        <w:t xml:space="preserve">from a stricter rubric) and partly the confound that Proposition P2 predicts (steering quality is</w:t>
      </w:r>
      <w:r>
        <w:t xml:space="preserve"> </w:t>
      </w:r>
      <w:r>
        <w:t xml:space="preserve">bounded by the judging it follows). Disentangling the two requires a harsher steering rubric and human</w:t>
      </w:r>
      <w:r>
        <w:t xml:space="preserve"> </w:t>
      </w:r>
      <w:r>
        <w:t xml:space="preserve">calibration, which we leave to the validation study.</w:t>
      </w:r>
    </w:p>
    <w:bookmarkEnd w:id="42"/>
    <w:bookmarkStart w:id="43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3"/>
    <w:bookmarkStart w:id="44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4"/>
    <w:bookmarkStart w:id="45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5"/>
    <w:bookmarkStart w:id="46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6"/>
    <w:bookmarkStart w:id="53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8" name="Picture"/>
            <a:graphic>
              <a:graphicData uri="http://schemas.openxmlformats.org/drawingml/2006/picture">
                <pic:pic>
                  <pic:nvPicPr>
                    <pic:cNvPr descr="assets/system-mockup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1" name="Picture"/>
            <a:graphic>
              <a:graphicData uri="http://schemas.openxmlformats.org/drawingml/2006/picture">
                <pic:pic>
                  <pic:nvPicPr>
                    <pic:cNvPr descr="assets/interface-galle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3"/>
    <w:bookmarkStart w:id="5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50" Target="media/rId50.svg" /><Relationship Type="http://schemas.openxmlformats.org/officeDocument/2006/relationships/image" Id="rId47" Target="media/rId47.svg" /><Relationship Type="http://schemas.openxmlformats.org/officeDocument/2006/relationships/hyperlink" Id="rId20" Target="https://github.com/ApartsinProjects/CoRea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ApartsinProjects/CoRea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2026-06-01T07:29:38Z</dcterms:created>
  <dcterms:modified xsi:type="dcterms:W3CDTF">2026-06-01T07:29:38Z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