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02fd80df72a8374afe940d19691278ee456611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Beyond Prompting: Framing, Judging, and Steering as Assessable Competencies for Reasoning With Generative AI in Higher Education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Alexander Apartsin</w:t>
      </w:r>
      <w:r>
        <w:rPr>
          <w:rFonts w:ascii="Georgia" w:hAnsi="Georgia"/>
          <w:b/>
          <w:i w:val="0"/>
          <w:sz w:val="24"/>
        </w:rPr>
        <w:t xml:space="preserve">¹ and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bCs/>
          <w:i w:val="0"/>
          <w:sz w:val="24"/>
        </w:rPr>
        <w:t xml:space="preserve">Yehudit Aperstein</w:t>
      </w:r>
      <w:r>
        <w:rPr>
          <w:rFonts w:ascii="Georgia" w:hAnsi="Georgia"/>
          <w:b/>
          <w:i w:val="0"/>
          <w:sz w:val="24"/>
        </w:rPr>
        <w:t xml:space="preserve">²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¹ Holon Institute of Technology · ² Afeka College of Engineering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iCs/>
          <w:sz w:val="20"/>
        </w:rPr>
        <w:t xml:space="preserve">Corresponding author: Dr. Yehudit Aperstein, Afeka College of Engineering (apersteiny@afeka.ac.il).</w:t>
      </w:r>
    </w:p>
    <w:bookmarkStart w:id="9" w:name="abstract"/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FirstParagraph"/>
        <w:ind w:left="720" w:right="720" w:firstLine="0"/>
        <w:jc w:val="both"/>
        <w:keepNext w:val="0"/>
        <w:keepLines w:val="0"/>
        <w:widowControl w:val="1"/>
      </w:pPr>
      <w:r>
        <w:t xml:space="preserve">Generative AI makes answers cheap and understanding scarce: students can now produce fluent work without the thinking a degree should develop. The competency that matters is no longer solving a problem unaided but working well with a fallible machine. Yet this ability is rarely assessed on its own; where measured, it collapses into a single "prompting" score that cannot say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AI use succeeded or failed. We propose CoRe-3 (Co-Reasoning), a competency model that factors productive AI use into three assessable skills, abbreviated FJS: Framing (structuring the task before invoking AI), Judging (evaluating the output), and Steering (redirecting the model). Its distinguishing claim is the separation of pre-generation Framing from post-generation Steering, with Judging as the gate between. We ground the skills in metacognition and self-regulated learning theory, state five testable propositions, and instantiate them in an open platform that scores each skill independently. Over simulated learners of controlled competence, graded by a different model from a different vendor and with the free-text skills scored blind to the intended competence, the three grades dissociate: each tracks its own manipulated skill while staying flat in the others, and correlate only when one ability is shared across all three, the convergent-and-discriminant signature of a valid measure. We release the instrument, the data, and a runnable human-rater protocol, positioning this as the construct-separability stage of a validity program whose human-agreement and efficacy stages are specified and ready to run.</w:t>
      </w:r>
    </w:p>
    <w:bookmarkEnd w:id="9"/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generative AI; AI literacy; competency assessment; metacognition; self-regulated learning; higher education</w:t>
      </w:r>
    </w:p>
    <w:bookmarkStart w:id="13" w:name="Xe3d0fc0bea9a42ce7605565d0964033d7f6ee47"/>
    <w:p>
      <w:pPr>
        <w:pStyle w:val="Heading2"/>
        <w:keepNext/>
        <w:keepLines/>
        <w:widowControl w:val="1"/>
      </w:pPr>
      <w:r>
        <w:t xml:space="preserve">1. 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Most tools bringing generative AI into higher education optimize for the wrong variable. They shorten the path from question to</w:t>
      </w:r>
      <w:r>
        <w:t xml:space="preserve"> </w:t>
      </w:r>
      <w:r>
        <w:t xml:space="preserve">answer, when the answer was never the point of a university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 "metacognitive</w:t>
      </w:r>
      <w:r>
        <w:t xml:space="preserve"> </w:t>
      </w:r>
      <w:r>
        <w:t xml:space="preserve">laziness," 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 "cognitive debt" when an assistant carries the reasoning load (Kosmyna et al., 2025).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At the same time, field studies of professional AI use show that the benefit of AI is sharply conditional on the</w:t>
      </w:r>
      <w:r>
        <w:t xml:space="preserve"> </w:t>
      </w:r>
      <w:r>
        <w:t xml:space="preserve">user's skill in directing it: assistance helps inside a model's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(Dell'Acqua et al., 2023), and the most effective users adopt an iterative, critical</w:t>
      </w:r>
      <w:r>
        <w:t xml:space="preserve"> </w:t>
      </w:r>
      <w:r>
        <w:t xml:space="preserve">"push-back-and-validate" mode rather than wholesale delegation (Randazzo et al., 2025). Meta-analytic</w:t>
      </w:r>
      <w:r>
        <w:t xml:space="preserve"> </w:t>
      </w:r>
      <w:r>
        <w:t xml:space="preserve">evidence underscores the stakes: human-AI teams frequently underperform the better of the human or the</w:t>
      </w:r>
      <w:r>
        <w:t xml:space="preserve"> </w:t>
      </w:r>
      <w:r>
        <w:t xml:space="preserve">AI alone (Vaccaro et al., 2024), which makes the human's skill in directing the system, not mere access</w:t>
      </w:r>
      <w:r>
        <w:t xml:space="preserve"> </w:t>
      </w:r>
      <w:r>
        <w:t xml:space="preserve">to it, the decisive variable. Direct behavioral evidence sharpens the point: across 16,851 real</w:t>
      </w:r>
      <w:r>
        <w:t xml:space="preserve"> </w:t>
      </w:r>
      <w:r>
        <w:t xml:space="preserve">student-ChatGPT interactions from a university course (McNichols et al., 2025), students' moves are</w:t>
      </w:r>
      <w:r>
        <w:t xml:space="preserve"> </w:t>
      </w:r>
      <w:r>
        <w:t xml:space="preserve">dominated by framing-type queries, while explicit verification of the AI's output (about 4% of</w:t>
      </w:r>
      <w:r>
        <w:t xml:space="preserve"> </w:t>
      </w:r>
      <w:r>
        <w:t xml:space="preserve">interactions) and corrective editing (about 2.5%) are rare. This is the very under-judging and</w:t>
      </w:r>
      <w:r>
        <w:t xml:space="preserve"> </w:t>
      </w:r>
      <w:r>
        <w:t xml:space="preserve">under-steering a competency model must target.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learner's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learner's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 "prompting" score conflates them.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trajectory is not transient, and that is what raises the stakes for assessment. As models absorb</w:t>
      </w:r>
      <w:r>
        <w:t xml:space="preserve"> </w:t>
      </w:r>
      <w:r>
        <w:t xml:space="preserve">more of the execution, the human contribution concentrates in the operations a system cannot perform on</w:t>
      </w:r>
      <w:r>
        <w:t xml:space="preserve"> </w:t>
      </w:r>
      <w:r>
        <w:t xml:space="preserve">its own behalf: specifying which problem is worth solving, judging whether a fluent output is right, and</w:t>
      </w:r>
      <w:r>
        <w:t xml:space="preserve"> </w:t>
      </w:r>
      <w:r>
        <w:t xml:space="preserve">redirecting the model when it is not. Field evidence that AI's value is conditional on the user's skill</w:t>
      </w:r>
      <w:r>
        <w:t xml:space="preserve"> </w:t>
      </w:r>
      <w:r>
        <w:t xml:space="preserve">(Dell'Acqua et al., 2023; Vaccaro et al., 2024) implies this conditioning tightens as systems improve,</w:t>
      </w:r>
      <w:r>
        <w:t xml:space="preserve"> </w:t>
      </w:r>
      <w:r>
        <w:t xml:space="preserve">so the durable, assessable skill shifts from executing a task to framing, judging, and steering it</w:t>
      </w:r>
      <w:r>
        <w:t xml:space="preserve"> </w:t>
      </w:r>
      <w:r>
        <w:t xml:space="preserve">(Acar, 2023; Denny et al., 2024; see Figure 1). An assessment that still measures unaided execution</w:t>
      </w:r>
      <w:r>
        <w:t xml:space="preserve"> </w:t>
      </w:r>
      <w:r>
        <w:t xml:space="preserve">therefore measures a shrinking part of what competent work will require.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40911"/>
            <wp:effectExtent b="0" l="0" r="0" t="0"/>
            <wp:docPr descr="Figure 1. As model capability rises, the human contribution concentrates in Framing, Judging, and Steering." title="" id="11" name="Picture"/>
            <a:graphic>
              <a:graphicData uri="http://schemas.openxmlformats.org/drawingml/2006/picture">
                <pic:pic>
                  <pic:nvPicPr>
                    <pic:cNvPr descr="E:/tmp/html2doc_svg_9ywx5B/svg_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 (schematic).</w:t>
      </w:r>
      <w:r>
        <w:rPr>
          <w:b w:val="0"/>
          <w:i/>
        </w:rPr>
        <w:t xml:space="preserve"> </w:t>
      </w:r>
      <w:r>
        <w:rPr>
          <w:b w:val="0"/>
          <w:i/>
        </w:rPr>
        <w:t>As models absorb more of the execution, the part of a task a competent person must still own shifts from doing the work toward framing, judging, and steering it; the axes are conceptual, not quantitative. CoRe-3 is a decomposition and assessment of that shifting contribution.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 </w:t>
      </w:r>
      <w:r>
        <w:t xml:space="preserve">(Co-Reasoning), a competency model that decomposes productive work with generative AI into</w:t>
      </w:r>
      <w:r>
        <w:t xml:space="preserve"> </w:t>
      </w:r>
      <w:r>
        <w:t xml:space="preserve">three distinct skills, each independently assessable and collectively abbreviated</w:t>
      </w:r>
      <w:r>
        <w:t xml:space="preserve"> </w:t>
      </w:r>
      <w:r>
        <w:rPr>
          <w:b/>
          <w:bCs/>
        </w:rPr>
        <w:t xml:space="preserve">FJS</w:t>
      </w:r>
      <w:r>
        <w:t xml:space="preserve">: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AI's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contributions, spanning a theoretical framework and its novelty positioning (1-4), a feasibility demonstration (5), and a released artifact and protocol (6):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 (Framing, Judging, and Steering),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each skill carries an explicit theoretical</w:t>
      </w:r>
      <w:r>
        <w:t xml:space="preserve"> </w:t>
      </w:r>
      <w:r>
        <w:t xml:space="preserve">warrant.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proposing new relationships among the constructs (Gilson &amp; Goldberg, 2015;</w:t>
      </w:r>
      <w:r>
        <w:t xml:space="preserve"> </w:t>
      </w:r>
      <w:r>
        <w:t xml:space="preserve">Jaakkola, 2020).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delineating what the model contributes beyond each.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An instrument and feasibility demonstration</w:t>
      </w:r>
      <w:r>
        <w:t xml:space="preserve"> </w:t>
      </w:r>
      <w:r>
        <w:t xml:space="preserve">showing that the three skills can be</w:t>
      </w:r>
      <w:r>
        <w:t xml:space="preserve"> </w:t>
      </w:r>
      <w:r>
        <w:t xml:space="preserve">scored automatically, with a multitrait-multimethod validity analysis (three grader backends across</w:t>
      </w:r>
      <w:r>
        <w:t xml:space="preserve"> </w:t>
      </w:r>
      <w:r>
        <w:t xml:space="preserve">two vendors; shared- versus independent-competence populations) giving convergent and discriminant</w:t>
      </w:r>
      <w:r>
        <w:t xml:space="preserve"> </w:t>
      </w:r>
      <w:r>
        <w:t xml:space="preserve">evidence that the three skills are separately measurable and genuinely distinct.</w:t>
      </w:r>
    </w:p>
    <w:p>
      <w:pPr>
        <w:pStyle w:val="Compact"/>
        <w:numPr>
          <w:ilvl w:val="0"/>
          <w:numId w:val="1002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A released, runnable validation package</w:t>
      </w:r>
      <w:r>
        <w:t xml:space="preserve">: the assessment instrument, the experiment data, a</w:t>
      </w:r>
      <w:r>
        <w:t xml:space="preserve"> </w:t>
      </w:r>
      <w:r>
        <w:t xml:space="preserve">scoring codebook, per-rater task files with hidden ground truth, and seed-fixed agreement-scoring</w:t>
      </w:r>
      <w:r>
        <w:t xml:space="preserve"> </w:t>
      </w:r>
      <w:r>
        <w:t xml:space="preserve">scripts, so the human-agreement study is executable on rater recruitment alone, not a methodological</w:t>
      </w:r>
      <w:r>
        <w:t xml:space="preserve"> </w:t>
      </w:r>
      <w:r>
        <w:t xml:space="preserve">sketch.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Following the argument-based validity tradition (Kane, 2013; Messick, 1995), instrument development</w:t>
      </w:r>
      <w:r>
        <w:t xml:space="preserve"> </w:t>
      </w:r>
      <w:r>
        <w:t xml:space="preserve">proceeds in stages: a measure must first separate the constructs it claims to measure before</w:t>
      </w:r>
      <w:r>
        <w:t xml:space="preserve"> </w:t>
      </w:r>
      <w:r>
        <w:t xml:space="preserve">human-agreement and outcome evidence are warranted. This paper delivers that prerequisite stage,</w:t>
      </w:r>
      <w:r>
        <w:t xml:space="preserve"> </w:t>
      </w:r>
      <w:r>
        <w:t xml:space="preserve">construct separability and automated measurability, with a released, runnable protocol for the</w:t>
      </w:r>
      <w:r>
        <w:t xml:space="preserve"> </w:t>
      </w:r>
      <w:r>
        <w:t xml:space="preserve">human-agreement stage that follows (Section 9.3).</w:t>
      </w:r>
    </w:p>
    <w:bookmarkEnd w:id="13"/>
    <w:bookmarkStart w:id="14" w:name="Xc80aad60eb1ce9c76f3f6e8ebe48a2f3b3f278b"/>
    <w:p>
      <w:pPr>
        <w:pStyle w:val="Heading2"/>
        <w:keepNext/>
        <w:keepLines/>
        <w:widowControl w:val="1"/>
      </w:pPr>
      <w:r>
        <w:t xml:space="preserve">2. The problem with current AI-literacy assessment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instruments for assessing how university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 "prompting" 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cost of this coarse resolution is diagnostic. When a learner's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 (teaching problem</w:t>
      </w:r>
      <w:r>
        <w:t xml:space="preserve"> </w:t>
      </w:r>
      <w:r>
        <w:t xml:space="preserve">specification, teaching critical evaluation, and teaching corrective communication),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AI's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CoRe-3 addresses.</w:t>
      </w:r>
    </w:p>
    <w:bookmarkEnd w:id="14"/>
    <w:bookmarkStart w:id="21" w:name="X49d7beb9babb458bb4a3c64984f644552ecde42"/>
    <w:p>
      <w:pPr>
        <w:pStyle w:val="Heading2"/>
        <w:keepNext/>
        <w:keepLines/>
        <w:widowControl w:val="1"/>
      </w:pPr>
      <w:r>
        <w:t xml:space="preserve">3. The CoRe-3 framework</w:t>
      </w:r>
    </w:p>
    <w:bookmarkStart w:id="18" w:name="Xe68b6e3303f1e693b99eac37e4ff2b8b0d9c1ec"/>
    <w:p>
      <w:pPr>
        <w:pStyle w:val="Heading3"/>
        <w:keepNext/>
        <w:keepLines/>
        <w:widowControl w:val="1"/>
      </w:pPr>
      <w:r>
        <w:t xml:space="preserve">3.1 A monitor-control architecture with an upstream task-definition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three FJS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CoRe-3, the learner's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AI's</w:t>
      </w:r>
      <w:r>
        <w:t xml:space="preserve"> </w:t>
      </w:r>
      <w:r>
        <w:t xml:space="preserve">generative process, rather than the learner's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framework's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(conditions, operations, products, evaluations, and standards; 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coexist by stipulation</w:t>
      </w:r>
      <w:r>
        <w:t xml:space="preserve"> </w:t>
      </w:r>
      <w:r>
        <w:t xml:space="preserve">(Figure 2).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488634"/>
            <wp:effectExtent b="0" l="0" r="0" t="0"/>
            <wp:docPr descr="Figure 2. The CoRe-3 architecture." title="" id="16" name="Picture"/>
            <a:graphic>
              <a:graphicData uri="http://schemas.openxmlformats.org/drawingml/2006/picture">
                <pic:pic>
                  <pic:nvPicPr>
                    <pic:cNvPr descr="E:/tmp/html2doc_svg_9ywx5B/svg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8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The CoRe-3 loop. An upstream task definition (Framing, a self-regulated-learning forethought activity) sets the standards against which a metacognitive monitor-control cycle (Judging then Steering) supervises a fallible AI at the object level. Judging is the monitor's read-out; Steering is the controller's write.</w:t>
      </w:r>
    </w:p>
    <w:bookmarkEnd w:id="18"/>
    <w:bookmarkStart w:id="19" w:name="Xce6e1ca138cc2fbbca968c6b99114842268beb5"/>
    <w:p>
      <w:pPr>
        <w:pStyle w:val="Heading3"/>
        <w:keepNext/>
        <w:keepLines/>
        <w:widowControl w:val="1"/>
      </w:pPr>
      <w:r>
        <w:t xml:space="preserve">3.2 The temporal-separation claim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Existing frameworks treat "use the AI well" as one skill or, at most, pair "prompt" with "evaluate."</w:t>
      </w:r>
      <w:r>
        <w:t xml:space="preserve"> </w:t>
      </w:r>
      <w:r>
        <w:t xml:space="preserve">CoRe-3's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 "prompting" hides exactly the</w:t>
      </w:r>
      <w:r>
        <w:t xml:space="preserve"> </w:t>
      </w:r>
      <w:r>
        <w:t xml:space="preserve">distinctions an educator needs.</w:t>
      </w:r>
    </w:p>
    <w:bookmarkEnd w:id="19"/>
    <w:bookmarkStart w:id="20" w:name="Xdb2b1112fd00524e4d1e38ed327bda10bf491fe"/>
    <w:p>
      <w:pPr>
        <w:pStyle w:val="Heading3"/>
        <w:keepNext/>
        <w:keepLines/>
        <w:widowControl w:val="1"/>
      </w:pPr>
      <w:r>
        <w:t xml:space="preserve">3.3 Distinguishing Judging from Steering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 "improve</w:t>
      </w:r>
      <w:r>
        <w:t xml:space="preserve"> </w:t>
      </w:r>
      <w:r>
        <w:t xml:space="preserve">this"), and effectiveness (whether the output actually converges). In the monitor-control terms of</w:t>
      </w:r>
      <w:r>
        <w:t xml:space="preserve"> </w:t>
      </w:r>
      <w:r>
        <w:t xml:space="preserve">Section 3.1, Judging is the monitor's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controller's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skill's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0"/>
    <w:bookmarkEnd w:id="21"/>
    <w:bookmarkStart w:id="22" w:name="X33559beceade9e011829ba0dfd35bbac6035713"/>
    <w:p>
      <w:pPr>
        <w:pStyle w:val="Heading2"/>
        <w:keepNext/>
        <w:keepLines/>
        <w:widowControl w:val="1"/>
      </w:pPr>
      <w:r>
        <w:t xml:space="preserve">4. Theoretical grounding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Zimmerman's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Bloom's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Chinn's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 "where to next" 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(interactive, constructive, active, passive; 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learner's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CoRe-3's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22"/>
    <w:bookmarkStart w:id="23" w:name="Xe47ed403f4ce49fb25f912e3b7155b566fcd076"/>
    <w:p>
      <w:pPr>
        <w:pStyle w:val="Heading2"/>
        <w:keepNext/>
        <w:keepLines/>
        <w:widowControl w:val="1"/>
      </w:pPr>
      <w:r>
        <w:t xml:space="preserve">5. Propositions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 "prompting."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  <w:ind w:left="360" w:hanging="259"/>
        <w:jc w:val="both"/>
        <w:keepNext w:val="0"/>
        <w:keepLines w:val="0"/>
        <w:widowControl w:val="1"/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9.3),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23"/>
    <w:bookmarkStart w:id="24" w:name="X7e2be599b6fb27f7d4655c10155b63b05f9aa9d"/>
    <w:p>
      <w:pPr>
        <w:pStyle w:val="Heading2"/>
        <w:keepNext/>
        <w:keepLines/>
        <w:widowControl w:val="1"/>
      </w:pPr>
      <w:r>
        <w:t xml:space="preserve">6. Relation to prior frameworks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constructs that compose CoRe-3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against the nearest priors.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Fluency, metacognitive, and prompt-literacy frameworks.</w:t>
      </w:r>
      <w:r>
        <w:t xml:space="preserve"> </w:t>
      </w:r>
      <w:r>
        <w:t xml:space="preserve">The 4D model of AI fluency (Dakan &amp;</w:t>
      </w:r>
      <w:r>
        <w:t xml:space="preserve"> </w:t>
      </w:r>
      <w:r>
        <w:t xml:space="preserve">Feller, 2025) maps Discernment onto Judging but bundles the initial specification and the iterative</w:t>
      </w:r>
      <w:r>
        <w:t xml:space="preserve"> </w:t>
      </w:r>
      <w:r>
        <w:t xml:space="preserve">back-and-forth into one "Description," exactly the pre- versus post-generation operations we separate.</w:t>
      </w:r>
      <w:r>
        <w:t xml:space="preserve"> </w:t>
      </w:r>
      <w:r>
        <w:t xml:space="preserve">Tankelevitch et al. (2024) analyse generative-AI use as metacognitive demands (prompting, output</w:t>
      </w:r>
      <w:r>
        <w:t xml:space="preserve"> </w:t>
      </w:r>
      <w:r>
        <w:t xml:space="preserve">evaluation, workflow iteration); we share that foundation but convert a demands analysis into an</w:t>
      </w:r>
      <w:r>
        <w:t xml:space="preserve"> </w:t>
      </w:r>
      <w:r>
        <w:t xml:space="preserve">assessable model with rubrics, propositions, and dissociation evidence. Prompt-literacy models such as</w:t>
      </w:r>
      <w:r>
        <w:t xml:space="preserve"> </w:t>
      </w:r>
      <w:r>
        <w:t xml:space="preserve">CLEAR (Lo, 2023), including the formulate-interpret-refine decomposition of Tour and Zadorozhnyy</w:t>
      </w:r>
      <w:r>
        <w:t xml:space="preserve"> </w:t>
      </w:r>
      <w:r>
        <w:t xml:space="preserve">(2025), likewise fuse task specification and refinement under "prompting" and do not grade the</w:t>
      </w:r>
      <w:r>
        <w:t xml:space="preserve"> </w:t>
      </w:r>
      <w:r>
        <w:t xml:space="preserve">sub-practices as dissociable competencies. This fusion of Framing and Steering is the conflation</w:t>
      </w:r>
      <w:r>
        <w:t xml:space="preserve"> </w:t>
      </w:r>
      <w:r>
        <w:t xml:space="preserve">CoRe-3 rejects, and our feasibility demonstration shows the two grades can diverge.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Literacy, metric, and mode frameworks.</w:t>
      </w:r>
      <w:r>
        <w:t xml:space="preserve"> </w:t>
      </w:r>
      <w:r>
        <w:t xml:space="preserve">Knowledge-oriented AI-literacy sets (Long &amp; Magerko, 2020;</w:t>
      </w:r>
      <w:r>
        <w:t xml:space="preserve"> </w:t>
      </w:r>
      <w:r>
        <w:t xml:space="preserve">UNESCO, 2024) define literacy as understanding AI systems and contain no Framing or Steering construct,</w:t>
      </w:r>
      <w:r>
        <w:t xml:space="preserve"> </w:t>
      </w:r>
      <w:r>
        <w:t xml:space="preserve">only a diffuse "critical evaluation"; CoRe-3 supplies the task-execution competencies they leave</w:t>
      </w:r>
      <w:r>
        <w:t xml:space="preserve"> </w:t>
      </w:r>
      <w:r>
        <w:t xml:space="preserve">implicit. Metric schemes for human-AI cognition, such as a cognitive-amplification-versus-delegation</w:t>
      </w:r>
      <w:r>
        <w:t xml:space="preserve"> </w:t>
      </w:r>
      <w:r>
        <w:t xml:space="preserve">framework with dependency and drift metrics (Di Santi, 2026),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</w:t>
      </w:r>
      <w:r>
        <w:t xml:space="preserve"> </w:t>
      </w:r>
      <w:r>
        <w:t xml:space="preserve">rather than teachable skills. Field accounts of how skilled users work, the continuous</w:t>
      </w:r>
      <w:r>
        <w:t xml:space="preserve"> </w:t>
      </w:r>
      <w:r>
        <w:t xml:space="preserve">push-back-and-validate "Cyborg" mode (Randazzo et al., 2025) and the skill-dependence of AI's value at</w:t>
      </w:r>
      <w:r>
        <w:t xml:space="preserve"> </w:t>
      </w:r>
      <w:r>
        <w:t xml:space="preserve">the competence frontier (Dell'Acqua et al., 2023), describe the behaviour that CoRe-3 decomposes into</w:t>
      </w:r>
      <w:r>
        <w:t xml:space="preserve"> </w:t>
      </w:r>
      <w:r>
        <w:t xml:space="preserve">assessable skills.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 1 makes the boundary explicit by mapping each nearest prior framework's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 "prompting/iteration" skill.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Where prior frameworks place the three FJS skills (Framing, Judging, Steering).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Prior framework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 (pre-generation)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 (post-generation)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4D AI Fluency (Dakan &amp; Feller, 2025)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Delegation + part of 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Discernment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Description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Metacognitive demands (Tankelevitch et al.,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"prompting" (as a demand, not a skill)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"evaluating outputs"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"workflow iteration"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Prompt literacy / CLEAR (Lo, 2023)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"prompting"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weakly present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i/>
                <w:iCs/>
                <w:sz w:val="19"/>
              </w:rPr>
              <w:t xml:space="preserve">fused into</w:t>
            </w:r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"iterative refinement"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AI literacy (Long &amp; Magerko, 2020; UNESCO, 2024)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diffuse "critical evaluation"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absent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Cyborg/Centaur modes (Randazzo et al., 2025)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"directed" mode (described, not assessed)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"push back / validate"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"continuous dialogue"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Validated instruments and evaluative judgement.</w:t>
      </w:r>
      <w:r>
        <w:t xml:space="preserve"> </w:t>
      </w:r>
      <w:r>
        <w:t xml:space="preserve">Psychometric GenAI-competence scales such as</w:t>
      </w:r>
      <w:r>
        <w:t xml:space="preserve"> </w:t>
      </w:r>
      <w:r>
        <w:t xml:space="preserve">GenAIComp (Lee et al., 2025) and tests such as GLAT (Jin et al., 2024) establish that GenAI competence</w:t>
      </w:r>
      <w:r>
        <w:t xml:space="preserve"> </w:t>
      </w:r>
      <w:r>
        <w:t xml:space="preserve">is measurable, but their factor structures are literacy-oriented and isolate no Framing, Judging, or</w:t>
      </w:r>
      <w:r>
        <w:t xml:space="preserve"> </w:t>
      </w:r>
      <w:r>
        <w:t xml:space="preserve">Steering construct; the work closest to ours pairs AI-collaboration literacy with metacognition</w:t>
      </w:r>
      <w:r>
        <w:t xml:space="preserve"> </w:t>
      </w:r>
      <w:r>
        <w:t xml:space="preserve">(Sidra &amp; Mason, 2025) yet posits correlated factors rather than demonstrating dissociation. Because</w:t>
      </w:r>
      <w:r>
        <w:t xml:space="preserve"> </w:t>
      </w:r>
      <w:r>
        <w:t xml:space="preserve">rubric-based LLM grading can agree highly with humans yet diverge on subjective criteria</w:t>
      </w:r>
      <w:r>
        <w:t xml:space="preserve"> </w:t>
      </w:r>
      <w:r>
        <w:t xml:space="preserve">(Yavuz et al., 2025), our multitrait-multimethod design across three grader backends (Section 8) treats</w:t>
      </w:r>
      <w:r>
        <w:t xml:space="preserve"> </w:t>
      </w:r>
      <w:r>
        <w:t xml:space="preserve">grader-method variance as a measured term. Our Judging skill operationalizes the evaluative judgement</w:t>
      </w:r>
      <w:r>
        <w:t xml:space="preserve"> </w:t>
      </w:r>
      <w:r>
        <w:t xml:space="preserve">argued to be the core human capability for the AI era (Bearman et al., 2024; Walton et al., 2025):</w:t>
      </w:r>
      <w:r>
        <w:t xml:space="preserve"> </w:t>
      </w:r>
      <w:r>
        <w:t xml:space="preserve">critical evaluation is the highest-load activity in AI-assisted writing (Yao &amp; Fan, 2025) and users</w:t>
      </w:r>
      <w:r>
        <w:t xml:space="preserve"> </w:t>
      </w:r>
      <w:r>
        <w:t xml:space="preserve">default to uncritical acceptance without intervention (Wingerter et al., 2025), which is why we treat</w:t>
      </w:r>
      <w:r>
        <w:t xml:space="preserve"> </w:t>
      </w:r>
      <w:r>
        <w:t xml:space="preserve">it as one of three separable skills rather than one overarching disposition. Among named frameworks,</w:t>
      </w:r>
      <w:r>
        <w:t xml:space="preserve"> </w:t>
      </w:r>
      <w:r>
        <w:t xml:space="preserve">the eight-dimension AI Quotient (Ganuthula &amp; Balaraman, 2025) leaves prompt-engineering fused, whereas</w:t>
      </w:r>
      <w:r>
        <w:t xml:space="preserve"> </w:t>
      </w:r>
      <w:r>
        <w:t xml:space="preserve">CoRe-3 splits it into pre-generation Framing and post-generation Steering; assessment-mode partitions of</w:t>
      </w:r>
      <w:r>
        <w:t xml:space="preserve"> </w:t>
      </w:r>
      <w:r>
        <w:t xml:space="preserve">coursework (Elshall &amp; Badir, 2025) are orthogonal and complementary.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As models absorb execution, a prominent strand argues the</w:t>
      </w:r>
      <w:r>
        <w:t xml:space="preserve"> </w:t>
      </w:r>
      <w:r>
        <w:t xml:space="preserve">durable human skill shifts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 </w:t>
      </w:r>
      <w:r>
        <w:t xml:space="preserve">(Acar, 2023), precisely our Framing construct;</w:t>
      </w:r>
      <w:r>
        <w:t xml:space="preserve"> </w:t>
      </w:r>
      <w:r>
        <w:t xml:space="preserve">classroom work assesses it through prompt problems (Denny et al., 2024), question formulation</w:t>
      </w:r>
      <w:r>
        <w:t xml:space="preserve"> </w:t>
      </w:r>
      <w:r>
        <w:t xml:space="preserve">(Kim et al., 2025), and problem decomposition (Srinath et al., 2025), and the older problem-finding</w:t>
      </w:r>
      <w:r>
        <w:t xml:space="preserve"> </w:t>
      </w:r>
      <w:r>
        <w:t xml:space="preserve">literature established it as separable from problem solving (Runco &amp; Chand, 1995). We build on this</w:t>
      </w:r>
      <w:r>
        <w:t xml:space="preserve"> </w:t>
      </w:r>
      <w:r>
        <w:t xml:space="preserve">strand by placing Framing in a measured loop with Judging and Steering.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CoRe-3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contribution is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itself, which is both theoretically motivated</w:t>
      </w:r>
      <w:r>
        <w:t xml:space="preserve"> </w:t>
      </w:r>
      <w:r>
        <w:t xml:space="preserve">(monitor-control plus an upstream task definition) and empirically consequential (the skills can be</w:t>
      </w:r>
      <w:r>
        <w:t xml:space="preserve"> </w:t>
      </w:r>
      <w:r>
        <w:t xml:space="preserve">measured apart).</w:t>
      </w:r>
    </w:p>
    <w:bookmarkEnd w:id="24"/>
    <w:bookmarkStart w:id="26" w:name="Xb469208b37f38982902a67bd55b39b9d5195787"/>
    <w:p>
      <w:pPr>
        <w:pStyle w:val="Heading2"/>
        <w:keepNext/>
        <w:keepLines/>
        <w:widowControl w:val="1"/>
      </w:pPr>
      <w:r>
        <w:t xml:space="preserve">7. The CoReasoningLab system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framework is instantiated in</w:t>
      </w:r>
      <w:r>
        <w:t xml:space="preserve"> </w:t>
      </w:r>
      <w:r>
        <w:rPr>
          <w:i/>
          <w:iCs/>
        </w:rPr>
        <w:t xml:space="preserve">CoReasoningLab</w:t>
      </w:r>
      <w:r>
        <w:t xml:space="preserve">, a runnable open-source web platform that maps the</w:t>
      </w:r>
      <w:r>
        <w:t xml:space="preserve"> </w:t>
      </w:r>
      <w:r>
        <w:t xml:space="preserve">abstract skills onto a concrete learner experience. It is a Node/Express application with role-based</w:t>
      </w:r>
      <w:r>
        <w:t xml:space="preserve"> </w:t>
      </w:r>
      <w:r>
        <w:t xml:space="preserve">access (student, instructor, administrator), a challenge database, practice and assessment modes,</w:t>
      </w:r>
      <w:r>
        <w:t xml:space="preserve"> </w:t>
      </w:r>
      <w:r>
        <w:t xml:space="preserve">multiple-choice and open-ended response formats, and a five-language content library (English, Hebrew,</w:t>
      </w:r>
      <w:r>
        <w:t xml:space="preserve"> </w:t>
      </w:r>
      <w:r>
        <w:t xml:space="preserve">German, Spanish, French). Its full source, the web application, the database schema, the content</w:t>
      </w:r>
      <w:r>
        <w:t xml:space="preserve"> </w:t>
      </w:r>
      <w:r>
        <w:t xml:space="preserve">library, and the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 </w:t>
      </w:r>
      <w:r>
        <w:t xml:space="preserve">of 16 prompts (Section 7.1), is released, alongside a</w:t>
      </w:r>
      <w:r>
        <w:t xml:space="preserve"> </w:t>
      </w:r>
      <w:r>
        <w:t xml:space="preserve">pedagogical-foundations document; the Supplementary Material walks through the running system. All</w:t>
      </w:r>
      <w:r>
        <w:t xml:space="preserve"> </w:t>
      </w:r>
      <w:r>
        <w:t xml:space="preserve">challenges evaluated here are English-language (Section 9.2), and the quantitative results come from the</w:t>
      </w:r>
      <w:r>
        <w:t xml:space="preserve"> </w:t>
      </w:r>
      <w:r>
        <w:t xml:space="preserve">scoring engine over controlled inputs, not production logs.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Because challenge generation, rubric generation, and scoring are themselves prompt-defined, the engine</w:t>
      </w:r>
      <w:r>
        <w:t xml:space="preserve"> </w:t>
      </w:r>
      <w:r>
        <w:t xml:space="preserve">extends to a new subject, language, or grader backend by substitution rather than redesign, and the</w:t>
      </w:r>
      <w:r>
        <w:t xml:space="preserve"> </w:t>
      </w:r>
      <w:r>
        <w:t xml:space="preserve">released artifact lets others add their own. The platform is therefore</w:t>
      </w:r>
      <w:r>
        <w:t xml:space="preserve"> </w:t>
      </w:r>
      <w:r>
        <w:rPr>
          <w:b/>
          <w:bCs/>
        </w:rPr>
        <w:t xml:space="preserve">domain-general</w:t>
      </w:r>
      <w:r>
        <w:t xml:space="preserve">: not a</w:t>
      </w:r>
      <w:r>
        <w:t xml:space="preserve"> </w:t>
      </w:r>
      <w:r>
        <w:t xml:space="preserve">computing-education tool but a generic instrument for any discipline in which a learner must specify an</w:t>
      </w:r>
      <w:r>
        <w:t xml:space="preserve"> </w:t>
      </w:r>
      <w:r>
        <w:t xml:space="preserve">ill-defined task, judge a fallible solution, and steer it toward a better one. Its released content</w:t>
      </w:r>
      <w:r>
        <w:t xml:space="preserve"> </w:t>
      </w:r>
      <w:r>
        <w:t xml:space="preserve">already spans</w:t>
      </w:r>
      <w:r>
        <w:t xml:space="preserve"> </w:t>
      </w:r>
      <w:r>
        <w:rPr>
          <w:b/>
          <w:bCs/>
        </w:rPr>
        <w:t xml:space="preserve">12 disciplines</w:t>
      </w:r>
      <w:r>
        <w:t xml:space="preserve"> </w:t>
      </w:r>
      <w:r>
        <w:t xml:space="preserve">across STEM, the social sciences, the humanities, law, and</w:t>
      </w:r>
      <w:r>
        <w:t xml:space="preserve"> </w:t>
      </w:r>
      <w:r>
        <w:t xml:space="preserve">professional fields (Supplementary Material). An educator authors a challenge by naming a subject; the</w:t>
      </w:r>
      <w:r>
        <w:t xml:space="preserve"> </w:t>
      </w:r>
      <w:r>
        <w:t xml:space="preserve">system generates the ill-defined problem, the three per-skill rubrics, and the seeded-flaw solution.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7.1).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A student enters a challenge run with two phases, walked through step by</w:t>
      </w:r>
      <w:r>
        <w:t xml:space="preserve"> </w:t>
      </w:r>
      <w:r>
        <w:t xml:space="preserve">step in the Supplementary Material. In Phase 1 (Framing) the student refines the raw ill-defined problem,</w:t>
      </w:r>
      <w:r>
        <w:t xml:space="preserve"> </w:t>
      </w:r>
      <w:r>
        <w:t xml:space="preserve">by writing refinement sections (assumptions, constraints, clarifications, success metrics) or selecting</w:t>
      </w:r>
      <w:r>
        <w:t xml:space="preserve"> </w:t>
      </w:r>
      <w:r>
        <w:t xml:space="preserve">them in multiple-choice mode, and receives rubric-driven Framing feedback and a grade. The system then</w:t>
      </w:r>
      <w:r>
        <w:t xml:space="preserve"> </w:t>
      </w:r>
      <w:r>
        <w:t xml:space="preserve">produces a plausible but deliberately flawed solution. In Phase 2 the student repeatedly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</w:t>
      </w:r>
      <w:r>
        <w:t xml:space="preserve"> </w:t>
      </w:r>
      <w:r>
        <w:t xml:space="preserve">current output (flagging its issues) and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commands), up to a</w:t>
      </w:r>
      <w:r>
        <w:t xml:space="preserve"> </w:t>
      </w:r>
      <w:r>
        <w:t xml:space="preserve">configured maximum, and marks the task complete when satisfied. Framing, Judging, and Steering are</w:t>
      </w:r>
      <w:r>
        <w:t xml:space="preserve"> </w:t>
      </w:r>
      <w:r>
        <w:t xml:space="preserve">scored separately, each with its own rubric-driven feedback, and surfaced in a per-challenge report and</w:t>
      </w:r>
      <w:r>
        <w:t xml:space="preserve"> </w:t>
      </w:r>
      <w:r>
        <w:t xml:space="preserve">longitudinal analytics that track the three skills independently. This separation in the interface,</w:t>
      </w:r>
      <w:r>
        <w:t xml:space="preserve"> </w:t>
      </w:r>
      <w:r>
        <w:t xml:space="preserve">distinct phases, feedback channels, and grade columns, is the framework's central claim made</w:t>
      </w:r>
      <w:r>
        <w:t xml:space="preserve"> </w:t>
      </w:r>
      <w:r>
        <w:t xml:space="preserve">operational: a learner sees, and is scored on, three different things, not one undifferentiated</w:t>
      </w:r>
      <w:r>
        <w:t xml:space="preserve"> </w:t>
      </w:r>
      <w:r>
        <w:t xml:space="preserve">"AI use." The remainder of this section describes the instrument that produces those scores.</w:t>
      </w:r>
    </w:p>
    <w:bookmarkStart w:id="25" w:name="Xda76768f9859ddfff08169db8cdc74bf43af05b"/>
    <w:p>
      <w:pPr>
        <w:pStyle w:val="Heading3"/>
        <w:keepNext/>
        <w:keepLines/>
        <w:widowControl w:val="1"/>
      </w:pPr>
      <w:r>
        <w:t xml:space="preserve">7.1 Operationalization: the assessment instrument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learner's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 "best</w:t>
      </w:r>
      <w:r>
        <w:t xml:space="preserve"> </w:t>
      </w:r>
      <w:r>
        <w:t xml:space="preserve">framing" 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CoRe-3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learner's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learner's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instrument used here is the scoring engine of the CoReasoningLab platform, a library of 16</w:t>
      </w:r>
      <w:r>
        <w:t xml:space="preserve"> </w:t>
      </w:r>
      <w:r>
        <w:t xml:space="preserve">prompts spanning challenge construction, AI generation, and evaluation (traced in the Supplementary</w:t>
      </w:r>
      <w:r>
        <w:t xml:space="preserve"> </w:t>
      </w:r>
      <w:r>
        <w:t xml:space="preserve">Material). It carries the deployed application's evaluation logic verbatim, the same rubrics, criteria,</w:t>
      </w:r>
      <w:r>
        <w:t xml:space="preserve"> </w:t>
      </w:r>
      <w:r>
        <w:t xml:space="preserve">and system prompts; the research harness (simulated-learner generation, the crossed factorial, and the</w:t>
      </w:r>
      <w:r>
        <w:t xml:space="preserve"> </w:t>
      </w:r>
      <w:r>
        <w:t xml:space="preserve">analysis) only orchestrates that fixed logic over controlled inputs, so the measurements are</w:t>
      </w:r>
      <w:r>
        <w:t xml:space="preserve"> </w:t>
      </w:r>
      <w:r>
        <w:t xml:space="preserve">reproducible and characterize the instrument itself. Because the grader is a language model, the results</w:t>
      </w:r>
      <w:r>
        <w:t xml:space="preserve"> </w:t>
      </w:r>
      <w:r>
        <w:t xml:space="preserve">below characterize the instrument's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(whether it separates controlled competence</w:t>
      </w:r>
      <w:r>
        <w:t xml:space="preserve"> </w:t>
      </w:r>
      <w:r>
        <w:t xml:space="preserve">levels and dissociates the skills); agreement with human experts is the separate validity question the</w:t>
      </w:r>
      <w:r>
        <w:t xml:space="preserve"> </w:t>
      </w:r>
      <w:r>
        <w:t xml:space="preserve">prepared study in Section 9.3 addresses.</w:t>
      </w:r>
    </w:p>
    <w:bookmarkEnd w:id="25"/>
    <w:bookmarkEnd w:id="26"/>
    <w:bookmarkStart w:id="33" w:name="X4d8e342cb22c9aa3a4677d1e6b5af262e28c318"/>
    <w:p>
      <w:pPr>
        <w:pStyle w:val="Heading2"/>
        <w:keepNext/>
        <w:keepLines/>
        <w:widowControl w:val="1"/>
      </w:pPr>
      <w:r>
        <w:t xml:space="preserve">8. Feasibility demonstration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The "learners" are simulated personas of controlled per-skill</w:t>
      </w:r>
      <w:r>
        <w:t xml:space="preserve"> </w:t>
      </w:r>
      <w:r>
        <w:t xml:space="preserve">competence, 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</w:t>
      </w:r>
      <w:r>
        <w:t xml:space="preserve"> </w:t>
      </w:r>
      <w:r>
        <w:t xml:space="preserve">model grades its own output. These claims concern the instrument; the agreement study with human expert</w:t>
      </w:r>
      <w:r>
        <w:t xml:space="preserve"> </w:t>
      </w:r>
      <w:r>
        <w:t xml:space="preserve">graders is prepared and is the next stage (Section 9.3).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(spanning STEM, the social sciences, and the humanities), for 80 simulated learners. Framing</w:t>
      </w:r>
      <w:r>
        <w:t xml:space="preserve"> </w:t>
      </w:r>
      <w:r>
        <w:t xml:space="preserve">and Steering responses are generated by the competence-conditioned learner model; Judging is</w:t>
      </w:r>
      <w:r>
        <w:t xml:space="preserve"> </w:t>
      </w:r>
      <w:r>
        <w:t xml:space="preserve">operationalized by a competence-conditioned selection over the challenge's ground-truth seeded issues (a</w:t>
      </w:r>
      <w:r>
        <w:t xml:space="preserve"> </w:t>
      </w:r>
      <w:r>
        <w:t xml:space="preserve">strong judge flags all real issues and no false ones; a weak judge flags few and adds false ones), which</w:t>
      </w:r>
      <w:r>
        <w:t xml:space="preserve"> </w:t>
      </w:r>
      <w:r>
        <w:t xml:space="preserve">are themselves machine-generated and not yet human-verified. Because the manipulation is per skill, the</w:t>
      </w:r>
      <w:r>
        <w:t xml:space="preserve"> </w:t>
      </w:r>
      <w:r>
        <w:t xml:space="preserve">design separates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skill's competence (discrimination) from whether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others' (dissociation).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skill's grade rises when that skill is</w:t>
      </w:r>
      <w:r>
        <w:t xml:space="preserve"> </w:t>
      </w:r>
      <w:r>
        <w:t xml:space="preserve">set to strong. The judging signal is mechanistically transparent: a strong judge flags all of the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result</w:t>
      </w:r>
      <w:r>
        <w:t xml:space="preserve"> </w:t>
      </w:r>
      <w:r>
        <w:t xml:space="preserve">that carries the claim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</w:t>
      </w:r>
      <w:r>
        <w:t xml:space="preserve"> </w:t>
      </w:r>
      <w:r>
        <w:t xml:space="preserve">the grader scores without knowing the intended competence: each shows a clear positive own-effect</w:t>
      </w:r>
      <w:r>
        <w:t xml:space="preserve"> </w:t>
      </w:r>
      <w:r>
        <w:t xml:space="preserve">(</w:t>
      </w:r>
      <w:r>
        <w:rPr>
          <w:b/>
          <w:bCs/>
        </w:rPr>
        <w:t xml:space="preserve">+0.62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+0.43</w:t>
      </w:r>
      <w:r>
        <w:t xml:space="preserve">) with near-zero cross-effects, so a simulated learner's two free-text grades</w:t>
      </w:r>
      <w:r>
        <w:t xml:space="preserve"> </w:t>
      </w:r>
      <w:r>
        <w:t xml:space="preserve">move independently. Judging's own-effect (</w:t>
      </w:r>
      <w:r>
        <w:rPr>
          <w:b/>
          <w:bCs/>
        </w:rPr>
        <w:t xml:space="preserve">+2.00</w:t>
      </w:r>
      <w:r>
        <w:t xml:space="preserve">) is large but</w:t>
      </w:r>
      <w:r>
        <w:t xml:space="preserve"> </w:t>
      </w:r>
      <w:r>
        <w:rPr>
          <w:i/>
          <w:iCs/>
        </w:rPr>
        <w:t xml:space="preserve">fixed by construction</w:t>
      </w:r>
      <w:r>
        <w:t xml:space="preserve">: its</w:t>
      </w:r>
      <w:r>
        <w:t xml:space="preserve"> </w:t>
      </w:r>
      <w:r>
        <w:t xml:space="preserve">competence is operationalized by a controlled selection over the challenge's seeded issues, and those</w:t>
      </w:r>
      <w:r>
        <w:t xml:space="preserve"> </w:t>
      </w:r>
      <w:r>
        <w:t xml:space="preserve">seeded issues are themselves machine-generated and not yet human-verified (Section 9.2). We therefore</w:t>
      </w:r>
      <w:r>
        <w:t xml:space="preserve"> </w:t>
      </w:r>
      <w:r>
        <w:t xml:space="preserve">read Judging's clean diagonal as a controlled check that the grader correctly rewards recall and</w:t>
      </w:r>
      <w:r>
        <w:t xml:space="preserve"> </w:t>
      </w:r>
      <w:r>
        <w:t xml:space="preserve">precision, not as independent evidence that the skills separate. The off-diagonal (cross-skill) effects</w:t>
      </w:r>
      <w:r>
        <w:t xml:space="preserve"> </w:t>
      </w:r>
      <w:r>
        <w:t xml:space="preserve">average +0.01 across the matrix, so each grade responds to its own skill and is essentially flat in the</w:t>
      </w:r>
      <w:r>
        <w:t xml:space="preserve"> </w:t>
      </w:r>
      <w:r>
        <w:t xml:space="preserve">others (Figure 3).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Effect on each skill's grade of manipulating each skill's competence (grade Δ, strong − weak; N=80).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grade of ↓ \ manipulated →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Framing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Judging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+2.00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+0.00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Steering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+0.43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4600754" cy="3864633"/>
            <wp:effectExtent b="0" l="0" r="0" t="0"/>
            <wp:docPr descr="Figure 3. Own-competence effects dominate cross-competence effects on every skill's grade." title="" id="28" name="Picture"/>
            <a:graphic>
              <a:graphicData uri="http://schemas.openxmlformats.org/drawingml/2006/picture">
                <pic:pic>
                  <pic:nvPicPr>
                    <pic:cNvPr descr="assets/fig_dissociation_heatmap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Effect of manipulating each skill's competence (columns) on each skill's grade (rows). Each cell is the grade change (strong minus weak) on the 3-point scale (A=3, B=2, C=1); warmer cells are larger positive effects. The diagonal (own-skill effect) dominates; off-diagonal (cross-skill) effects are near zero.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302000"/>
            <wp:effectExtent b="0" l="0" r="0" t="0"/>
            <wp:docPr descr="Figure 4. Per-skill grades dissociate by competence profile." title="" id="31" name="Picture"/>
            <a:graphic>
              <a:graphicData uri="http://schemas.openxmlformats.org/drawingml/2006/picture">
                <pic:pic>
                  <pic:nvPicPr>
                    <pic:cNvPr descr="assets/fig_contras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Mean per-skill grade for five competence profiles. Judging reaches A only when judging is strong, regardless of framing or steering; each skill responds to its own competence.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With only three indicators a formal factor model is</w:t>
      </w:r>
      <w:r>
        <w:t xml:space="preserve"> </w:t>
      </w:r>
      <w:r>
        <w:t xml:space="preserve">under-identified, so we rest the separability evidence on the manipulation-based effect matrix and the</w:t>
      </w:r>
      <w:r>
        <w:t xml:space="preserve"> </w:t>
      </w:r>
      <w:r>
        <w:t xml:space="preserve">inter-skill correlations rather than on a confirmatory dimensionality test.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Convergent and discriminant validity (a multitrait-multimethod view).</w:t>
      </w:r>
      <w:r>
        <w:t xml:space="preserve"> </w:t>
      </w:r>
      <w:r>
        <w:t xml:space="preserve">The result so far is a</w:t>
      </w:r>
      <w:r>
        <w:t xml:space="preserve"> </w:t>
      </w:r>
      <w:r>
        <w:rPr>
          <w:i/>
          <w:iCs/>
        </w:rPr>
        <w:t xml:space="preserve">discriminant</w:t>
      </w:r>
      <w:r>
        <w:t xml:space="preserve">-validity finding: three traits separate. Construct validity also requires the convergent</w:t>
      </w:r>
      <w:r>
        <w:t xml:space="preserve"> </w:t>
      </w:r>
      <w:r>
        <w:t xml:space="preserve">property, that the same skill measured by different methods agrees, and that the instrument reports</w:t>
      </w:r>
      <w:r>
        <w:t xml:space="preserve"> </w:t>
      </w:r>
      <w:r>
        <w:t xml:space="preserve">correlation when the underlying competence really is shared (Campbell &amp; Fiske, 1959). Two analyses</w:t>
      </w:r>
      <w:r>
        <w:t xml:space="preserve"> </w:t>
      </w:r>
      <w:r>
        <w:t xml:space="preserve">supply it. First, we treat the three grader backends (gpt-4o, gpt-4o-mini, and the independent-vendor</w:t>
      </w:r>
      <w:r>
        <w:t xml:space="preserve"> </w:t>
      </w:r>
      <w:r>
        <w:t xml:space="preserve">llama-3.3-70b) as independent methods. For the two skills with the widest grade range, the same skill</w:t>
      </w:r>
      <w:r>
        <w:t xml:space="preserve"> </w:t>
      </w:r>
      <w:r>
        <w:t xml:space="preserve">agrees across graders while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skills stay near zero (Table 3, Panel A), the convergent-high /</w:t>
      </w:r>
      <w:r>
        <w:t xml:space="preserve"> </w:t>
      </w:r>
      <w:r>
        <w:t xml:space="preserve">discriminant-low pattern a valid measure should show. Steering's narrower range under the P2 ceiling</w:t>
      </w:r>
      <w:r>
        <w:t xml:space="preserve"> </w:t>
      </w:r>
      <w:r>
        <w:t xml:space="preserve">gives a lower cross-method correlation, a restriction of variance rather than a separate construct.</w:t>
      </w:r>
      <w:r>
        <w:t xml:space="preserve"> </w:t>
      </w:r>
      <w:r>
        <w:t xml:space="preserve">Across the full matrix the convergent correlations exceed both heterotrait terms and no grader shows</w:t>
      </w:r>
      <w:r>
        <w:t xml:space="preserve"> </w:t>
      </w:r>
      <w:r>
        <w:t xml:space="preserve">halo, so all three Campbell-Fiske criteria hold. Second, the instrument is faithful to the population's</w:t>
      </w:r>
      <w:r>
        <w:t xml:space="preserve"> </w:t>
      </w:r>
      <w:r>
        <w:t xml:space="preserve">dependence structure (Table 3, Panel B): on learners whose competences are set</w:t>
      </w:r>
      <w:r>
        <w:t xml:space="preserve"> </w:t>
      </w:r>
      <w:r>
        <w:rPr>
          <w:i/>
          <w:iCs/>
        </w:rPr>
        <w:t xml:space="preserve">independently</w:t>
      </w:r>
      <w:r>
        <w:t xml:space="preserve"> </w:t>
      </w:r>
      <w:r>
        <w:t xml:space="preserve">the</w:t>
      </w:r>
      <w:r>
        <w:t xml:space="preserve"> </w:t>
      </w:r>
      <w:r>
        <w:t xml:space="preserve">inter-skill grade correlations are near zero, whereas on the 20 learners whose competences are all</w:t>
      </w:r>
      <w:r>
        <w:t xml:space="preserve"> </w:t>
      </w:r>
      <w:r>
        <w:t xml:space="preserve">strong or all weak the same instrument returns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correlations. It therefore does not</w:t>
      </w:r>
      <w:r>
        <w:t xml:space="preserve"> </w:t>
      </w:r>
      <w:r>
        <w:t xml:space="preserve">manufacture dissociation, recovering independence when the competences are independent and correlation</w:t>
      </w:r>
      <w:r>
        <w:t xml:space="preserve"> </w:t>
      </w:r>
      <w:r>
        <w:t xml:space="preserve">when they are shared, which licenses reading the crossed-design separation as a property of the skills</w:t>
      </w:r>
      <w:r>
        <w:t xml:space="preserve"> </w:t>
      </w:r>
      <w:r>
        <w:t xml:space="preserve">rather than of the scoring.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Multitrait-multimethod validity. Panel A: convergent agreement of the same skill across the three grader backends (mean pairwise per-learner rank correlation on the 40 shared transcripts). Panel B: inter-skill grade correlation by population, showing the instrument recovers the population's dependence structure (discriminant on the full crossed design, convergent on the n=20 all-strong and all-weak learners whose three competences share one level).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A: cross-grader convergent (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, 3 backends)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Framing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Judging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Steering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same skill across gpt-4o, gpt-4o-mini, llama-3.3-70b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+0.67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+0.21</w:t>
            </w:r>
          </w:p>
        </w:tc>
      </w:tr>
    </w:tbl>
    <w:p/>
    <w:tbl>
      <w:tblPr>
        <w:tblStyle w:val="Table"/>
        <w:tblW w:type="pct" w:w="5000"/>
        <w:jc w:val="center"/>
        <w:tblLook w:firstRow="1" w:lastRow="0" w:firstColumn="0" w:lastColumn="0" w:noHBand="0" w:noVBand="0" w:val="0020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Panel B: inter-skill</w:t>
            </w:r>
            <w:r>
              <w:rPr>
                <w:rFonts w:ascii="Georgia" w:hAnsi="Georgia"/>
                <w:b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b/>
                <w:sz w:val="19"/>
              </w:rPr>
              <w:t xml:space="preserve"> </w:t>
            </w:r>
            <w:r>
              <w:rPr>
                <w:rFonts w:ascii="Georgia" w:hAnsi="Georgia"/>
                <w:b/>
                <w:sz w:val="19"/>
              </w:rPr>
              <w:t xml:space="preserve">by population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F-J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F-S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J-S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sz w:val="19"/>
              </w:rPr>
              <w:t xml:space="preserve">summary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independent (crossed) competences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−0.03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−0.12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ρ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0.13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shared single-ability level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+0.14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b/>
                <w:bCs/>
                <w:sz w:val="19"/>
              </w:rPr>
              <w:t xml:space="preserve">+0.56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Georgia" w:hAnsi="Georgia"/>
                <w:sz w:val="19"/>
              </w:rPr>
              <w:t xml:space="preserve">mean</w:t>
            </w:r>
            <w:r>
              <w:rPr>
                <w:rFonts w:ascii="Georgia" w:hAnsi="Georgia"/>
                <w:sz w:val="19"/>
              </w:rPr>
              <w:t xml:space="preserve"> </w:t>
            </w:r>
            <m:oMath>
              <m:r>
                <m:t>ρ</m:t>
              </m:r>
            </m:oMath>
            <w:r>
              <w:rPr>
                <w:rFonts w:ascii="Georgia" w:hAnsi="Georgia"/>
                <w:sz w:val="19"/>
              </w:rPr>
              <w:t xml:space="preserve"> </w:t>
            </w:r>
            <w:r>
              <w:rPr>
                <w:rFonts w:ascii="Georgia" w:hAnsi="Georgia"/>
                <w:sz w:val="19"/>
              </w:rPr>
              <w:t xml:space="preserve">= +0.41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own-skill effects are directionally consistent across subjects: Framing and Steering each show a</w:t>
      </w:r>
      <w:r>
        <w:t xml:space="preserve"> </w:t>
      </w:r>
      <w:r>
        <w:t xml:space="preserve">positive own-competence effect in nine of the 10 subject areas, the two exceptions reflecting the small</w:t>
      </w:r>
      <w:r>
        <w:t xml:space="preserve"> </w:t>
      </w:r>
      <w:r>
        <w:t xml:space="preserve">per-subject sample rather than a sign reversal (Judging is fixed by construction throughout). The</w:t>
      </w:r>
      <w:r>
        <w:t xml:space="preserve"> </w:t>
      </w:r>
      <w:r>
        <w:t xml:space="preserve">designed-contrast personas make the separation concrete (Figure 4):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this; and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 "AI-use ability" cannot</w:t>
      </w:r>
      <w:r>
        <w:t xml:space="preserve"> </w:t>
      </w:r>
      <w:r>
        <w:t xml:space="preserve">produce these crossed profiles. Converging evidence comes from outside our synthetic setting: in an</w:t>
      </w:r>
      <w:r>
        <w:t xml:space="preserve"> </w:t>
      </w:r>
      <w:r>
        <w:t xml:space="preserve">intervention study, students'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predicts effective use whereas</w:t>
      </w:r>
      <w:r>
        <w:t xml:space="preserve"> </w:t>
      </w:r>
      <w:r>
        <w:t xml:space="preserve">self-rated AI expertise does not (Clerc et al., 2026), so the skill of working with AI is distinct from</w:t>
      </w:r>
      <w:r>
        <w:t xml:space="preserve"> </w:t>
      </w:r>
      <w:r>
        <w:t xml:space="preserve">a general, self-assessed competence.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Robustness and ablations.</w:t>
      </w:r>
      <w:r>
        <w:t xml:space="preserve"> </w:t>
      </w:r>
      <w:r>
        <w:t xml:space="preserve">Three checks, reported in full in the Supplementary Material, support the result. First,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on repeat, a precision check, not accuracy against humans. Second, the dissociation replicates across three grader backends spanning two providers (gpt-4o, gpt-4o-mini, and Meta's llama-3.3-70b; diagonal-to-off-diagonal ratio 39), so it does not hinge on one model snapshot. Third, a ground-truth ablation shows Framing and Steering are scored by rubric-guided model judgment while Judging, as instrumented, tracks the seeded answer key, which locates the Judging score to settings with known ground truth (Section 9.3 specifies the open-ended variant).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Scope.</w:t>
      </w:r>
      <w:r>
        <w:t xml:space="preserve"> </w:t>
      </w:r>
      <w:r>
        <w:t xml:space="preserve">These results establish feasibility, with four qualifications. Judging's clean diagonal</w:t>
      </w:r>
      <w:r>
        <w:t xml:space="preserve"> </w:t>
      </w:r>
      <w:r>
        <w:t xml:space="preserve">(+2.00, zero cross-effects) is a controlled check by design, so the independent separation evidence is</w:t>
      </w:r>
      <w:r>
        <w:t xml:space="preserve"> </w:t>
      </w:r>
      <w:r>
        <w:t xml:space="preserve">carried by the free-text, blind-graded Framing and Steering (own-effects +0.62 and +0.43 with near-zero</w:t>
      </w:r>
      <w:r>
        <w:t xml:space="preserve"> </w:t>
      </w:r>
      <w:r>
        <w:t xml:space="preserve">cross-effects). The dissociation replicates across grader backends from two providers (Supplementary</w:t>
      </w:r>
      <w:r>
        <w:t xml:space="preserve"> </w:t>
      </w:r>
      <w:r>
        <w:t xml:space="preserve">Material), while agreement with human experts is the validity step the prepared study of Section 9.3</w:t>
      </w:r>
      <w:r>
        <w:t xml:space="preserve"> </w:t>
      </w:r>
      <w:r>
        <w:t xml:space="preserve">supplies. With three constructs the evidence rests on the manipulation-based effect matrix and the</w:t>
      </w:r>
      <w:r>
        <w:t xml:space="preserve"> </w:t>
      </w:r>
      <w:r>
        <w:t xml:space="preserve">inter-skill correlations, the appropriate tests for this design. Finally, Steering's own-effect is</w:t>
      </w:r>
      <w:r>
        <w:t xml:space="preserve"> </w:t>
      </w:r>
      <w:r>
        <w:t xml:space="preserve">governed by the P2 ceiling by design (its quality is bounded by the judging that precedes it); this is a</w:t>
      </w:r>
      <w:r>
        <w:t xml:space="preserve"> </w:t>
      </w:r>
      <w:r>
        <w:t xml:space="preserve">property of the construct, not the grader, since under a deliberately strict steering rubric the effect</w:t>
      </w:r>
      <w:r>
        <w:t xml:space="preserve"> </w:t>
      </w:r>
      <w:r>
        <w:t xml:space="preserve">is unchanged (+0.40 versus +0.50) and the dissociation persists. Human steering data will trace this</w:t>
      </w:r>
      <w:r>
        <w:t xml:space="preserve"> </w:t>
      </w:r>
      <w:r>
        <w:t xml:space="preserve">ceiling directly.</w:t>
      </w:r>
    </w:p>
    <w:bookmarkEnd w:id="33"/>
    <w:bookmarkStart w:id="38" w:name="X7c81bf03759b1b00759d96e3a328e2270cfccbb"/>
    <w:p>
      <w:pPr>
        <w:pStyle w:val="Heading2"/>
        <w:keepNext/>
        <w:keepLines/>
        <w:widowControl w:val="1"/>
      </w:pPr>
      <w:r>
        <w:t xml:space="preserve">9. Discussion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establishes that the three skills are separable and automatically scoreable; this section reconciles the tensions the framework raises, bounds the present evidence, and specifies the validation program it invites.</w:t>
      </w:r>
    </w:p>
    <w:bookmarkStart w:id="34" w:name="X9cd38e1771607e53b4b4a0356b4c74bde46c9a2"/>
    <w:p>
      <w:pPr>
        <w:pStyle w:val="Heading3"/>
        <w:keepNext/>
        <w:keepLines/>
        <w:widowControl w:val="1"/>
      </w:pPr>
      <w:r>
        <w:t xml:space="preserve">9.1 Tensions the framework reconciles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Four tensions bear on the framework, each with a resolution within it.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CoRe-3 treats the AI as a mediating tool whose purpose is the learner's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 Whether exercising the loop actually reduces the offloading</w:t>
      </w:r>
      <w:r>
        <w:t xml:space="preserve"> </w:t>
      </w:r>
      <w:r>
        <w:t xml:space="preserve">signatures is an empirical question this paper does not test; it is reserved for the efficacy study of</w:t>
      </w:r>
      <w:r>
        <w:t xml:space="preserve"> </w:t>
      </w:r>
      <w:r>
        <w:t xml:space="preserve">Section 9.3.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framework's applicability at the</w:t>
      </w:r>
      <w:r>
        <w:t xml:space="preserve"> </w:t>
      </w:r>
      <w:r>
        <w:t xml:space="preserve">expert frontier.</w:t>
      </w:r>
    </w:p>
    <w:bookmarkEnd w:id="34"/>
    <w:bookmarkStart w:id="35" w:name="Xa9110b14b39a15f11efd4a7059397e4d3b338cc"/>
    <w:p>
      <w:pPr>
        <w:pStyle w:val="Heading3"/>
        <w:keepNext/>
        <w:keepLines/>
        <w:widowControl w:val="1"/>
      </w:pPr>
      <w:r>
        <w:t xml:space="preserve">9.2 Scope and boundary conditions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is a conceptual contribution with a working instrument, and three boundary conditions</w:t>
      </w:r>
      <w:r>
        <w:t xml:space="preserve"> </w:t>
      </w:r>
      <w:r>
        <w:t xml:space="preserve">define where the present evidence applies. The feasibility demonstration uses simulated learners of</w:t>
      </w:r>
      <w:r>
        <w:t xml:space="preserve"> </w:t>
      </w:r>
      <w:r>
        <w:t xml:space="preserve">controlled competence: they establish that the grader carries signal and that the skills separate, and</w:t>
      </w:r>
      <w:r>
        <w:t xml:space="preserve"> </w:t>
      </w:r>
      <w:r>
        <w:t xml:space="preserve">they set up the human-learner studies of Section 9.3. To keep generation and grading independent,</w:t>
      </w:r>
      <w:r>
        <w:t xml:space="preserve"> </w:t>
      </w:r>
      <w:r>
        <w:t xml:space="preserve">learners are generated by one model (gpt-4o-mini) and graded by another (gpt-4o), and the dissociation</w:t>
      </w:r>
      <w:r>
        <w:t xml:space="preserve"> </w:t>
      </w:r>
      <w:r>
        <w:t xml:space="preserve">replicates across grader backends spanning two providers (Section 8); broadening the grader pool further</w:t>
      </w:r>
      <w:r>
        <w:t xml:space="preserve"> </w:t>
      </w:r>
      <w:r>
        <w:t xml:space="preserve">is part of the validation program. The challenges are English-language, and agreement with human</w:t>
      </w:r>
      <w:r>
        <w:t xml:space="preserve"> </w:t>
      </w:r>
      <w:r>
        <w:t xml:space="preserve">experts is the defined next step (Section 9.3). Two construct-specific boundaries are worth stating.</w:t>
      </w:r>
      <w:r>
        <w:t xml:space="preserve"> </w:t>
      </w:r>
      <w:r>
        <w:t xml:space="preserve">First, Judging as instrumented here is scored against a seeded answer key, so the Judging score applies</w:t>
      </w:r>
      <w:r>
        <w:t xml:space="preserve"> </w:t>
      </w:r>
      <w:r>
        <w:t xml:space="preserve">to settings with known ground truth; open-ended scoring without a key is a distinct instrumentation</w:t>
      </w:r>
      <w:r>
        <w:t xml:space="preserve"> </w:t>
      </w:r>
      <w:r>
        <w:t xml:space="preserve">that Section 9.3 specifies. Second, Steering's signal is governed by the P2 ceiling by design (its</w:t>
      </w:r>
      <w:r>
        <w:t xml:space="preserve"> </w:t>
      </w:r>
      <w:r>
        <w:t xml:space="preserve">quality is capped by the judging it follows), a relation that human steering data will trace directly.</w:t>
      </w:r>
      <w:r>
        <w:t xml:space="preserve"> </w:t>
      </w:r>
      <w:r>
        <w:t xml:space="preserve">What the paper establishes is a theoretically-grounded decomposition with stated propositions, a precise</w:t>
      </w:r>
      <w:r>
        <w:t xml:space="preserve"> </w:t>
      </w:r>
      <w:r>
        <w:t xml:space="preserve">novelty boundary, and evidence that the three constructs are separable and automatically scoreable; the</w:t>
      </w:r>
      <w:r>
        <w:t xml:space="preserve"> </w:t>
      </w:r>
      <w:r>
        <w:t xml:space="preserve">efficacy study of learning outcomes is the next stage of the program.</w:t>
      </w:r>
    </w:p>
    <w:bookmarkEnd w:id="35"/>
    <w:bookmarkStart w:id="36" w:name="Xf6895654d04db058866422aa3d66bea4a80775b"/>
    <w:p>
      <w:pPr>
        <w:pStyle w:val="Heading3"/>
        <w:keepNext/>
        <w:keepLines/>
        <w:widowControl w:val="1"/>
      </w:pPr>
      <w:r>
        <w:t xml:space="preserve">9.3 A validation and assessment agenda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First, an instrument-validity study, built and ready to run. Three blind expert raters re-grade a</w:t>
      </w:r>
      <w:r>
        <w:t xml:space="preserve"> </w:t>
      </w:r>
      <w:r>
        <w:t xml:space="preserve">stratified sample of 40 transcripts (covering all eight competence profiles) on the three skills using</w:t>
      </w:r>
      <w:r>
        <w:t xml:space="preserve"> </w:t>
      </w:r>
      <w:r>
        <w:t xml:space="preserve">the per-skill rubrics; inter-rater reliability is reported as ordinal Krippendorff's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(primary,</w:t>
      </w:r>
      <w:r>
        <w:t xml:space="preserve"> </w:t>
      </w:r>
      <w:r>
        <w:t xml:space="preserve">since the grades are ordinal), Fleiss'</w:t>
      </w:r>
      <w:r>
        <w:t xml:space="preserve"> </w:t>
      </w:r>
      <m:oMath>
        <m:r>
          <m:t>κ</m:t>
        </m:r>
      </m:oMath>
      <w:r>
        <w:t xml:space="preserve">, and pairwise Cohen's</w:t>
      </w:r>
      <w:r>
        <w:t xml:space="preserve"> </w:t>
      </w:r>
      <m:oMath>
        <m:r>
          <m:t>κ</m:t>
        </m:r>
      </m:oMath>
      <w:r>
        <w:t xml:space="preserve">, and agreement of the</w:t>
      </w:r>
      <w:r>
        <w:t xml:space="preserve"> </w:t>
      </w:r>
      <w:r>
        <w:t xml:space="preserve">human majority with the automated grade as Cohen's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and ordinal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With all three raters scoring the same 40 items the agreement</w:t>
      </w:r>
      <w:r>
        <w:t xml:space="preserve"> </w:t>
      </w:r>
      <w:r>
        <w:t xml:space="preserve">estimate has a bootstrap half-width on the order of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, enough to place each skill inside or</w:t>
      </w:r>
      <w:r>
        <w:t xml:space="preserve"> </w:t>
      </w:r>
      <w:r>
        <w:t xml:space="preserve">outside that band.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Fleiss'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are validated against humans rather than assumed reliable.</w:t>
      </w:r>
      <w:r>
        <w:t xml:space="preserve"> </w:t>
      </w:r>
      <w:r>
        <w:t xml:space="preserve">The package confronts the recursive calibration threat (who grades the grader) on a second level: because</w:t>
      </w:r>
      <w:r>
        <w:t xml:space="preserve"> </w:t>
      </w:r>
      <w:r>
        <w:t xml:space="preserve">the Judging construct rests on machine-seeded ground-truth issues, a parallel task has the same three</w:t>
      </w:r>
      <w:r>
        <w:t xml:space="preserve"> </w:t>
      </w:r>
      <w:r>
        <w:t xml:space="preserve">raters verify a balanced set of 40 seeded issues (20 real and 20 distractor controls) as genuine flaws,</w:t>
      </w:r>
      <w:r>
        <w:t xml:space="preserve"> </w:t>
      </w:r>
      <w:r>
        <w:t xml:space="preserve">yielding a confirmation rate for the Judging ground truth before its recall/precision signal is trusted.</w:t>
      </w:r>
      <w:r>
        <w:t xml:space="preserve"> </w:t>
      </w:r>
      <w:r>
        <w:t xml:space="preserve">The full package, codebook, per-rater shuffled task files with hidden ground truth, and seed-fixed</w:t>
      </w:r>
      <w:r>
        <w:t xml:space="preserve"> </w:t>
      </w:r>
      <w:r>
        <w:t xml:space="preserve">agreement-scoring scripts, is released and reproducible, so the study runs directly once raters are</w:t>
      </w:r>
      <w:r>
        <w:t xml:space="preserve"> </w:t>
      </w:r>
      <w:r>
        <w:t xml:space="preserve">recruited. Second, a construct-validity</w:t>
      </w:r>
      <w:r>
        <w:t xml:space="preserve"> </w:t>
      </w:r>
      <w:r>
        <w:t xml:space="preserve">study at scale (target of at least 200 real learners) to test Propositions P1 through P4, examining</w:t>
      </w:r>
      <w:r>
        <w:t xml:space="preserve"> </w:t>
      </w:r>
      <w:r>
        <w:t xml:space="preserve">whether Framing, Judging, and Steering dissociate across a learner population and whether the proposed</w:t>
      </w:r>
      <w:r>
        <w:t xml:space="preserve"> </w:t>
      </w:r>
      <w:r>
        <w:t xml:space="preserve">gating relations hold. Third, a grader-robustness study across multiple model backends to separate the framework's</w:t>
      </w:r>
      <w:r>
        <w:t xml:space="preserve"> </w:t>
      </w:r>
      <w:r>
        <w:t xml:space="preserve">signal from any single model's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Beyond validity, the framework opens a research program, and one strand can begin before the human</w:t>
      </w:r>
      <w:r>
        <w:t xml:space="preserve"> </w:t>
      </w:r>
      <w:r>
        <w:t xml:space="preserve">studies: external validity can be probed by scoring a released corpus of real student-LLM dialogue, the</w:t>
      </w:r>
      <w:r>
        <w:t xml:space="preserve"> </w:t>
      </w:r>
      <w:r>
        <w:t xml:space="preserve">StudyChat dataset of 16,851 student-ChatGPT interactions from a university course (McNichols et al.,</w:t>
      </w:r>
      <w:r>
        <w:t xml:space="preserve"> </w:t>
      </w:r>
      <w:r>
        <w:t xml:space="preserve">2025), with the per-skill instrument, testing whether Framing, Judging, and Steering are detectable and</w:t>
      </w:r>
      <w:r>
        <w:t xml:space="preserve"> </w:t>
      </w:r>
      <w:r>
        <w:t xml:space="preserve">separable outside the controlled challenge format; StudyChat's own dialogue-act labels (questioning,</w:t>
      </w:r>
      <w:r>
        <w:t xml:space="preserve"> </w:t>
      </w:r>
      <w:r>
        <w:t xml:space="preserve">verification, and editing) align with the three skills and supply an external anchor. Four further</w:t>
      </w:r>
      <w:r>
        <w:t xml:space="preserve"> </w:t>
      </w:r>
      <w:r>
        <w:t xml:space="preserve">directions follow from the propositions: a longitudinal study of whether the three skills develop and</w:t>
      </w:r>
      <w:r>
        <w:t xml:space="preserve"> </w:t>
      </w:r>
      <w:r>
        <w:t xml:space="preserve">persist with practice; an instructional-intervention study testing whether targeted teaching of each</w:t>
      </w:r>
      <w:r>
        <w:t xml:space="preserve"> </w:t>
      </w:r>
      <w:r>
        <w:t xml:space="preserve">skill improves it, building on evidence that students' behavioral regulation of LLM use is trainable</w:t>
      </w:r>
      <w:r>
        <w:t xml:space="preserve"> </w:t>
      </w:r>
      <w:r>
        <w:t xml:space="preserve">(Clerc et al., 2026); a transfer study testing P4's prediction that Framing, the more structural skill,</w:t>
      </w:r>
      <w:r>
        <w:t xml:space="preserve"> </w:t>
      </w:r>
      <w:r>
        <w:t xml:space="preserve">transfers across domains more readily than the domain-bound Judging, a question made tractable by</w:t>
      </w:r>
      <w:r>
        <w:t xml:space="preserve"> </w:t>
      </w:r>
      <w:r>
        <w:t xml:space="preserve">evidence that metacognitive regulation can show far transfer (Wirth et al., 2025); and a mediation study</w:t>
      </w:r>
      <w:r>
        <w:t xml:space="preserve"> </w:t>
      </w:r>
      <w:r>
        <w:t xml:space="preserve">testing whether metacognitive monitoring accuracy predicts Judging, extending findings that calibration</w:t>
      </w:r>
      <w:r>
        <w:t xml:space="preserve"> </w:t>
      </w:r>
      <w:r>
        <w:t xml:space="preserve">predicts subsequent strategy use in computer-based learning (Lee &amp; Bosch, 2025) and tying the construct</w:t>
      </w:r>
      <w:r>
        <w:t xml:space="preserve"> </w:t>
      </w:r>
      <w:r>
        <w:t xml:space="preserve">to its monitor-control grounding.</w:t>
      </w:r>
    </w:p>
    <w:bookmarkEnd w:id="36"/>
    <w:bookmarkStart w:id="37" w:name="X52e1a44e19907b0952b51d1fc9278182b1cd8f0"/>
    <w:p>
      <w:pPr>
        <w:pStyle w:val="Heading3"/>
        <w:keepNext/>
        <w:keepLines/>
        <w:widowControl w:val="1"/>
      </w:pPr>
      <w:r>
        <w:t xml:space="preserve">9.4 Implications for higher-education practice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decomposition is immediately actionable for higher education. An instructor can diagnose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a student's AI use failed at and give per-skill formative feedback, rather than a</w:t>
      </w:r>
      <w:r>
        <w:t xml:space="preserve"> </w:t>
      </w:r>
      <w:r>
        <w:t xml:space="preserve">single "prompting" grade; a programme can define reasoning with generative AI as an assessable learning</w:t>
      </w:r>
      <w:r>
        <w:t xml:space="preserve"> </w:t>
      </w:r>
      <w:r>
        <w:t xml:space="preserve">outcome and track it across a curriculum; and academic-integrity policy can shift from prohibiting AI</w:t>
      </w:r>
      <w:r>
        <w:t xml:space="preserve"> </w:t>
      </w:r>
      <w:r>
        <w:t xml:space="preserve">use toward assessing the framing, judging, and steering that competent use requires. The released,</w:t>
      </w:r>
      <w:r>
        <w:t xml:space="preserve"> </w:t>
      </w:r>
      <w:r>
        <w:t xml:space="preserve">discipline-general platform lets any department instantiate this without building an instrument.</w:t>
      </w:r>
    </w:p>
    <w:bookmarkEnd w:id="37"/>
    <w:bookmarkEnd w:id="38"/>
    <w:bookmarkStart w:id="39" w:name="Xc72408c88f6aa3f318e9c4f077d22b48a39071f"/>
    <w:p>
      <w:pPr>
        <w:pStyle w:val="Heading2"/>
        <w:keepNext/>
        <w:keepLines/>
        <w:widowControl w:val="1"/>
      </w:pPr>
      <w:r>
        <w:t xml:space="preserve">10. Conclusion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CoRe-3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Because the decomposition tracks what a person must contribute rather than what today's</w:t>
      </w:r>
      <w:r>
        <w:t xml:space="preserve"> </w:t>
      </w:r>
      <w:r>
        <w:t xml:space="preserve">models cannot yet do, it does not lapse as the models improve: the more capable the system, the more</w:t>
      </w:r>
      <w:r>
        <w:t xml:space="preserve"> </w:t>
      </w:r>
      <w:r>
        <w:t xml:space="preserve">the assessable skill is the framing, judging, and steering of it. We release the model, the instrument,</w:t>
      </w:r>
      <w:r>
        <w:t xml:space="preserve"> </w:t>
      </w:r>
      <w:r>
        <w:t xml:space="preserve">and the validation protocol as a foundation to build on: an open, domain-general platform with which a</w:t>
      </w:r>
      <w:r>
        <w:t xml:space="preserve"> </w:t>
      </w:r>
      <w:r>
        <w:t xml:space="preserve">university educator in any discipline, from algorithms to applied ethics, can assess and train this skill, for the</w:t>
      </w:r>
      <w:r>
        <w:t xml:space="preserve"> </w:t>
      </w:r>
      <w:r>
        <w:t xml:space="preserve">assessment and instruction the moment demands.</w:t>
      </w:r>
    </w:p>
    <w:bookmarkEnd w:id="39"/>
    <w:bookmarkStart w:id="40" w:name="declarations"/>
    <w:p>
      <w:pPr>
        <w:pStyle w:val="Heading2"/>
        <w:keepNext/>
        <w:keepLines/>
        <w:widowControl w:val="1"/>
      </w:pPr>
      <w:r>
        <w:t xml:space="preserve">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Availability of data and materials.</w:t>
      </w:r>
      <w:r>
        <w:t xml:space="preserve"> </w:t>
      </w:r>
      <w:r>
        <w:t xml:space="preserve">The assessment instrument (the 16-prompt scoring engine),</w:t>
      </w:r>
      <w:r>
        <w:t xml:space="preserve"> </w:t>
      </w:r>
      <w:r>
        <w:t xml:space="preserve">the experiment data, and the prepared human-rater validation protocol are released in a public</w:t>
      </w:r>
      <w:r>
        <w:t xml:space="preserve"> </w:t>
      </w:r>
      <w:r>
        <w:t xml:space="preserve">repository (URL withheld to preserve anonymous review; available to the editors on request).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declare that they have no competing interests.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received no specific grant from any funding agency in the public, commercial,</w:t>
      </w:r>
      <w:r>
        <w:t xml:space="preserve"> </w:t>
      </w:r>
      <w:r>
        <w:t xml:space="preserve">or not-for-profit sectors for this research.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Authors' contributions.</w:t>
      </w:r>
      <w:r>
        <w:t xml:space="preserve"> </w:t>
      </w:r>
      <w:r>
        <w:t xml:space="preserve">AA and YA jointly conceived the competency model, designed and implemented</w:t>
      </w:r>
      <w:r>
        <w:t xml:space="preserve"> </w:t>
      </w:r>
      <w:r>
        <w:t xml:space="preserve">the instrument and experiments, analysed and interpreted the results, and drafted and critically revised</w:t>
      </w:r>
      <w:r>
        <w:t xml:space="preserve"> </w:t>
      </w:r>
      <w:r>
        <w:t xml:space="preserve">the manuscript. Both authors read and approved the final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 and consent to participate.</w:t>
      </w:r>
      <w:r>
        <w:t xml:space="preserve"> </w:t>
      </w:r>
      <w:r>
        <w:t xml:space="preserve">Not applicable. The study reports a feasibility</w:t>
      </w:r>
      <w:r>
        <w:t xml:space="preserve"> </w:t>
      </w:r>
      <w:r>
        <w:t xml:space="preserve">demonstration over model-generated simulated learners and involves no human participants.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Consent for publication.</w:t>
      </w:r>
      <w:r>
        <w:t xml:space="preserve"> </w:t>
      </w:r>
      <w:r>
        <w:t xml:space="preserve">Not applicable.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Use of generative AI.</w:t>
      </w:r>
      <w:r>
        <w:t xml:space="preserve"> </w:t>
      </w:r>
      <w:r>
        <w:t xml:space="preserve">Generative AI is the assessment instrument evaluated in this paper (Section 7.1); no generative-AI tool was used to author the scholarly content of the manuscript.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Not applicable.</w:t>
      </w:r>
    </w:p>
    <w:bookmarkEnd w:id="40"/>
    <w:bookmarkStart w:id="4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1. </w:t>
      </w:r>
      <w:r>
        <w:t xml:space="preserve">Acar, O. A. (2023, June 6). AI prompt engineering isn't the future.</w:t>
      </w:r>
      <w:r>
        <w:t xml:space="preserve"> </w:t>
      </w:r>
      <w:r>
        <w:rPr>
          <w:i/>
          <w:iCs/>
        </w:rPr>
        <w:t xml:space="preserve">Harvard Business Review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2. </w:t>
      </w:r>
      <w:r>
        <w:t xml:space="preserve">Anderson, L. W., &amp; Krathwohl, D. R. (2001). A taxonomy for learning, teaching, and assessing: A revision of Bloom's taxonomy of educational objectives. Longman.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3. </w:t>
      </w: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4. </w:t>
      </w: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5. </w:t>
      </w: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Sciences, 27</w:t>
      </w:r>
      <w:r>
        <w:t xml:space="preserve">(3), 353–389.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6. </w:t>
      </w:r>
      <w:r>
        <w:t xml:space="preserve">Bearman, M., Tai, J., Dawson, P., Boud, D., &amp; Ajjawi, R. (2024). Developing evaluative judgement for a time of generative artificial intelligence.</w:t>
      </w:r>
      <w:r>
        <w:t xml:space="preserve"> </w:t>
      </w:r>
      <w:r>
        <w:rPr>
          <w:i/>
          <w:iCs/>
        </w:rPr>
        <w:t xml:space="preserve">Assessment &amp; Evaluation in Higher Education, 49</w:t>
      </w:r>
      <w:r>
        <w:t xml:space="preserve">(6), 893–905. https://doi.org/10.1080/02602938.2024.2335321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7. </w:t>
      </w: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8. </w:t>
      </w: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Interaction, 5</w:t>
      </w:r>
      <w:r>
        <w:t xml:space="preserve">(CSCW1), 1–21.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9. </w:t>
      </w:r>
      <w:r>
        <w:t xml:space="preserve">Campbell, D. T., &amp; Fiske, D. W. (1959). Convergent and discriminant validation by the multitrait-multimethod matrix.</w:t>
      </w:r>
      <w:r>
        <w:t xml:space="preserve"> </w:t>
      </w:r>
      <w:r>
        <w:rPr>
          <w:i/>
          <w:iCs/>
        </w:rPr>
        <w:t xml:space="preserve">Psychological Bulletin, 56</w:t>
      </w:r>
      <w:r>
        <w:t xml:space="preserve">(2), 81–105.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10. </w:t>
      </w: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Psychologist, 49</w:t>
      </w:r>
      <w:r>
        <w:t xml:space="preserve">(4), 219–243.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11. </w:t>
      </w:r>
      <w:r>
        <w:t xml:space="preserve">Clerc, O., Abdelghani, R., Desvaux, C., Poisson, E., Oudeyer, P., &amp; Sauzéon, H. (2026). Teaching students to question the machine: An AI literacy intervention improves students'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12. </w:t>
      </w: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13. </w:t>
      </w:r>
      <w:r>
        <w:t xml:space="preserve">Dakan, R., &amp; Feller, J. (2025). Framework for AI fluency. Anthropic.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14. </w:t>
      </w:r>
      <w:r>
        <w:t xml:space="preserve">Dell'Acqua,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15. </w:t>
      </w: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16. </w:t>
      </w: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17. </w:t>
      </w: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Instruction, 22</w:t>
      </w:r>
      <w:r>
        <w:t xml:space="preserve">(3), 206–214. https://doi.org/10.1016/j.learninstruc.2011.11.001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18. </w:t>
      </w:r>
      <w:r>
        <w:t xml:space="preserve">Elshall, A. S., &amp; Badir, A. (2025). Balancing AI-assisted learning and traditional assessment: The FACT assessment in environmental data science education.</w:t>
      </w:r>
      <w:r>
        <w:t xml:space="preserve"> </w:t>
      </w:r>
      <w:r>
        <w:rPr>
          <w:i/>
          <w:iCs/>
        </w:rPr>
        <w:t xml:space="preserve">Frontiers in Education, 10</w:t>
      </w:r>
      <w:r>
        <w:t xml:space="preserve">, 1596462. https://doi.org/10.3389/feduc.2025.1596462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19. </w:t>
      </w:r>
      <w:r>
        <w:t xml:space="preserve">Facione, P. A. (1990). Critical thinking: A statement of expert consensus for purposes of educational assessment and instruction (the Delphi report). American Philosophical Association.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20. </w:t>
      </w: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(2), 489–530. https://doi.org/10.1111/bjet.13544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21. </w:t>
      </w:r>
      <w:r>
        <w:t xml:space="preserve">Feng, Y., Wang, S., Cheng, Z., Wan, Y., &amp; Chen, D. (2025). Are we on the right way to assessing LLM-as-a-judge?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22. </w:t>
      </w: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23. </w:t>
      </w: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Psychologist, 34</w:t>
      </w:r>
      <w:r>
        <w:t xml:space="preserve">(10), 906–911.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24. </w:t>
      </w:r>
      <w:r>
        <w:t xml:space="preserve">Ganuthula, V. R. R., &amp; Balaraman, K. K. (2025). Artificial intelligence quotient framework for measuring human collaboration with artificial intelligence.</w:t>
      </w:r>
      <w:r>
        <w:t xml:space="preserve"> </w:t>
      </w:r>
      <w:r>
        <w:rPr>
          <w:i/>
          <w:iCs/>
        </w:rPr>
        <w:t xml:space="preserve">Discover Artificial Intelligence, 5</w:t>
      </w:r>
      <w:r>
        <w:t xml:space="preserve">, 268. https://doi.org/10.1007/s44163-025-00516-1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25. </w:t>
      </w: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Societies, 15</w:t>
      </w:r>
      <w:r>
        <w:t xml:space="preserve">(1), 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26. </w:t>
      </w:r>
      <w:r>
        <w:t xml:space="preserve">Gilson, L. L., &amp; Goldberg, C. B. (2015). Editors' comment: So, what is a conceptual paper?</w:t>
      </w:r>
      <w:r>
        <w:t xml:space="preserve"> </w:t>
      </w:r>
      <w:r>
        <w:rPr>
          <w:i/>
          <w:iCs/>
        </w:rPr>
        <w:t xml:space="preserve">Group &amp; Organization Management, 40</w:t>
      </w:r>
      <w:r>
        <w:t xml:space="preserve">(2), 127–130. https://doi.org/10.1177/1059601115576425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27. </w:t>
      </w:r>
      <w:r>
        <w:t xml:space="preserve">Große, C. S., &amp; Renkl, A. (2007). Finding and fixing errors in worked examples: Can this foster learning outcomes?</w:t>
      </w:r>
      <w:r>
        <w:t xml:space="preserve"> </w:t>
      </w:r>
      <w:r>
        <w:rPr>
          <w:i/>
          <w:iCs/>
        </w:rPr>
        <w:t xml:space="preserve">Learning and Instruction, 17</w:t>
      </w:r>
      <w:r>
        <w:t xml:space="preserve">(6), 612–634. https://doi.org/10.1016/j.learninstruc.2007.09.008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28. </w:t>
      </w: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29. </w:t>
      </w: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Research, 77</w:t>
      </w:r>
      <w:r>
        <w:t xml:space="preserve">(1), 81–112.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30. </w:t>
      </w: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Review, 10</w:t>
      </w:r>
      <w:r>
        <w:t xml:space="preserve">, 18–26.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31. </w:t>
      </w: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32. </w:t>
      </w: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Measurement, 50</w:t>
      </w:r>
      <w:r>
        <w:t xml:space="preserve">(1), 1–73. https://doi.org/10.1111/jedm.12000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33. </w:t>
      </w: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Instruction, 26</w:t>
      </w:r>
      <w:r>
        <w:t xml:space="preserve">(3), 379–424.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34. </w:t>
      </w: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Research, 63</w:t>
      </w:r>
      <w:r>
        <w:t xml:space="preserve">(3), 565–586. https://doi.org/10.1177/07356331251314222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35. </w:t>
      </w: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36. </w:t>
      </w:r>
      <w:r>
        <w:t xml:space="preserve">Lee, H., &amp; Bosch, N. (2025). Calibration discrepancy predicts students' subsequent metacognitive strategy use in computer-based learning environments.</w:t>
      </w:r>
      <w:r>
        <w:t xml:space="preserve"> </w:t>
      </w:r>
      <w:r>
        <w:rPr>
          <w:i/>
          <w:iCs/>
        </w:rPr>
        <w:t xml:space="preserve">International Journal of Artificial Intelligence in Education, 35</w:t>
      </w:r>
      <w:r>
        <w:t xml:space="preserve">(6), 3746–3779. https://doi.org/10.1007/s40593-025-00514-5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37. </w:t>
      </w: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Factors, 46</w:t>
      </w:r>
      <w:r>
        <w:t xml:space="preserve">(1), 50–80.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38. </w:t>
      </w: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39. </w:t>
      </w: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Intelligence, 10</w:t>
      </w:r>
      <w:r>
        <w:t xml:space="preserve">, 100571. https://doi.org/10.1016/j.caeai.2026.100571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40. </w:t>
      </w: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Librarianship, 49</w:t>
      </w:r>
      <w:r>
        <w:t xml:space="preserve">(4).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41. </w:t>
      </w: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42. </w:t>
      </w:r>
      <w:r>
        <w:t xml:space="preserve">McNichols, H., Ikram, F., &amp; Lan, A. (2025). The StudyChat dataset: Student dialogues with ChatGPT in an artificial intelligence course.</w:t>
      </w:r>
      <w:r>
        <w:t xml:space="preserve"> </w:t>
      </w:r>
      <w:r>
        <w:rPr>
          <w:i/>
          <w:iCs/>
        </w:rPr>
        <w:t xml:space="preserve">arXiv preprint arXiv:2503.07928</w:t>
      </w:r>
      <w:r>
        <w:t xml:space="preserve">. https://doi.org/10.48550/arXiv.2503.07928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43. </w:t>
      </w:r>
      <w:r>
        <w:t xml:space="preserve">Messick, S. (1995). Validity of psychological assessment: Validation of inferences from persons'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Psychologist, 50</w:t>
      </w:r>
      <w:r>
        <w:t xml:space="preserve">(9), 741–749. https://doi.org/10.1037/0003-066X.50.9.741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44. </w:t>
      </w: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45. </w:t>
      </w: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Motivation, 26</w:t>
      </w:r>
      <w:r>
        <w:t xml:space="preserve">, 125–173.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46. </w:t>
      </w: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Factors, 52</w:t>
      </w:r>
      <w:r>
        <w:t xml:space="preserve">(3), 381–410.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47. </w:t>
      </w:r>
      <w:r>
        <w:t xml:space="preserve">Paul, R., &amp; Elder, L. (2006). The miniature guide to critical thinking: Concepts and tools. Foundation for Critical Thinking.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48. </w:t>
      </w:r>
      <w:r>
        <w:t xml:space="preserve">Randazzo, B., Lifshitz-Assaf, H., Kellogg, K., Dell'Acqua,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49. </w:t>
      </w: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Review, 7</w:t>
      </w:r>
      <w:r>
        <w:t xml:space="preserve">(3), 243–267.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50. </w:t>
      </w: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Science, 18</w:t>
      </w:r>
      <w:r>
        <w:t xml:space="preserve">(2), 119–144.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51. </w:t>
      </w: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Researcher, 20</w:t>
      </w:r>
      <w:r>
        <w:t xml:space="preserve">(3), 2–9.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52. </w:t>
      </w: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53. </w:t>
      </w: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Language, 25</w:t>
      </w:r>
      <w:r>
        <w:t xml:space="preserve">(4), 359–393.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54. </w:t>
      </w: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55. </w:t>
      </w: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56. </w:t>
      </w: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57. </w:t>
      </w:r>
      <w:r>
        <w:t xml:space="preserve">UNESCO (2024). AI competency framework for students. UNESCO.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58. </w:t>
      </w: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Behaviour, 8</w:t>
      </w:r>
      <w:r>
        <w:t xml:space="preserve">, 2293–2303.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59. </w:t>
      </w:r>
      <w:r>
        <w:t xml:space="preserve">Vygotsky, L. S. (1978). Mind in society: The development of higher psychological processes. Harvard University Press.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60. </w:t>
      </w:r>
      <w:r>
        <w:t xml:space="preserve">Walton, J., Bearman, M., Crawford, N., Tai, J., &amp; Boud, D. (2025). How university students work on assessment tasks with generative artificial intelligence: Matters of judgement.</w:t>
      </w:r>
      <w:r>
        <w:t xml:space="preserve"> </w:t>
      </w:r>
      <w:r>
        <w:rPr>
          <w:i/>
          <w:iCs/>
        </w:rPr>
        <w:t xml:space="preserve">Assessment &amp; Evaluation in Higher Education</w:t>
      </w:r>
      <w:r>
        <w:t xml:space="preserve"> </w:t>
      </w:r>
      <w:r>
        <w:t xml:space="preserve">(advance online publication). https://doi.org/10.1080/02602938.2025.2570328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61. </w:t>
      </w:r>
      <w:r>
        <w:t xml:space="preserve">Wingerter, T. L., Straub, T., &amp; Schweitzer, S. (2025). Mitigating automation bias in generative AI through nudges: A cognitive reflection test study.</w:t>
      </w:r>
      <w:r>
        <w:t xml:space="preserve"> </w:t>
      </w:r>
      <w:r>
        <w:rPr>
          <w:i/>
          <w:iCs/>
        </w:rPr>
        <w:t xml:space="preserve">Procedia Computer Science, 270</w:t>
      </w:r>
      <w:r>
        <w:t xml:space="preserve">, 2106–2114. https://doi.org/10.1016/j.procs.2025.09.331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62. </w:t>
      </w: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63. </w:t>
      </w:r>
      <w:r>
        <w:t xml:space="preserve">Wirth, J., Weber-Reuter, X.-L., Schuster, C., Fleischer, J., Leutner, D., &amp; Stebner, F. (2025). Far transfer of metacognitive regulation: From cognitive learning strategy use to mental effort regulation.</w:t>
      </w:r>
      <w:r>
        <w:t xml:space="preserve"> </w:t>
      </w:r>
      <w:r>
        <w:rPr>
          <w:i/>
          <w:iCs/>
        </w:rPr>
        <w:t xml:space="preserve">Educational Psychology Review, 37</w:t>
      </w:r>
      <w:r>
        <w:t xml:space="preserve">(1), 7. https://doi.org/10.1007/s10648-024-09983-x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64. </w:t>
      </w:r>
      <w:r>
        <w:t xml:space="preserve">Yao, G., &amp; Fan, L. (2025). Cognitive load scale for AI-assisted L2 writing: Scale development and validation.</w:t>
      </w:r>
      <w:r>
        <w:t xml:space="preserve"> </w:t>
      </w:r>
      <w:r>
        <w:rPr>
          <w:i/>
          <w:iCs/>
        </w:rPr>
        <w:t xml:space="preserve">Frontiers in Psychology, 16</w:t>
      </w:r>
      <w:r>
        <w:t xml:space="preserve">, 1666974. https://doi.org/10.3389/fpsyg.2025.1666974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65. </w:t>
      </w:r>
      <w:r>
        <w:t xml:space="preserve">Yavuz, F., Çelik, Ö., &amp; Yavaş Çelik, G. (2025). Utilizing large language models for EFL essay grading: An examination of reliability and validity in rubric-based assessments.</w:t>
      </w:r>
      <w:r>
        <w:t xml:space="preserve"> </w:t>
      </w:r>
      <w:r>
        <w:rPr>
          <w:i/>
          <w:iCs/>
        </w:rPr>
        <w:t xml:space="preserve">British Journal of Educational Technology, 56</w:t>
      </w:r>
      <w:r>
        <w:t xml:space="preserve">(4), 1–17. https://doi.org/10.1111/bjet.13494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Georgia" w:hAnsi="Georgia"/>
          <w:sz w:val="20"/>
        </w:rPr>
        <w:t xml:space="preserve">66. </w:t>
      </w: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bookmarkEnd w:id="41"/>
    <w:bookmarkEnd w:id="42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image" Target="media/rId15.png"/><Relationship Id="rId30" Type="http://schemas.openxmlformats.org/officeDocument/2006/relationships/image" Target="media/rId30.png"/><Relationship Id="rId27" Type="http://schemas.openxmlformats.org/officeDocument/2006/relationships/image" Target="media/rId2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2026-07-07T09:09:02Z</dcterms:created>
  <dcterms:modified xsi:type="dcterms:W3CDTF">2026-07-07T09:09:02Z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