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July 2026</w:t>
      </w:r>
    </w:p>
    <w:p>
      <w:pPr>
        <w:pStyle w:val="BodyText"/>
      </w:pPr>
      <w:r>
        <w:t xml:space="preserve">Dear Editors,</w:t>
      </w:r>
    </w:p>
    <w:p>
      <w:pPr>
        <w:pStyle w:val="BodyText"/>
      </w:pPr>
      <w:r>
        <w:t xml:space="preserve">We are pleased to submit our manuscript,</w:t>
      </w:r>
      <w:r>
        <w:t xml:space="preserve"> </w:t>
      </w:r>
      <w:r>
        <w:rPr>
          <w:b/>
          <w:bCs/>
        </w:rPr>
        <w:t xml:space="preserve">“Beyond Prompting: Framing, Judging, and Steering as Assessable Competencies for Reasoning With Generative AI in Higher Education,”</w:t>
      </w:r>
      <w:r>
        <w:t xml:space="preserve"> </w:t>
      </w:r>
      <w:r>
        <w:t xml:space="preserve">for consideration as a</w:t>
      </w:r>
      <w:r>
        <w:t xml:space="preserve"> </w:t>
      </w:r>
      <w:r>
        <w:rPr>
          <w:b/>
          <w:bCs/>
        </w:rPr>
        <w:t xml:space="preserve">Research Article</w:t>
      </w:r>
      <w:r>
        <w:t xml:space="preserve"> </w:t>
      </w:r>
      <w:r>
        <w:t xml:space="preserve">in the</w:t>
      </w:r>
      <w:r>
        <w:t xml:space="preserve"> </w:t>
      </w:r>
      <w:r>
        <w:rPr>
          <w:i/>
          <w:iCs/>
        </w:rPr>
        <w:t xml:space="preserve">International Journal of Educational Technology in Higher Education</w:t>
      </w:r>
      <w:r>
        <w:t xml:space="preserve">.</w:t>
      </w:r>
    </w:p>
    <w:p>
      <w:pPr>
        <w:pStyle w:val="BodyText"/>
      </w:pPr>
      <w:r>
        <w:t xml:space="preserve">Higher education is under acute pressure to rethink assessment as students delegate cognition to generative AI. Institutions need not another prohibition but a way to name, teach, and grade the reasoning that competent AI use actually requires. Current AI-literacy instruments collapse this ability into a single</w:t>
      </w:r>
      <w:r>
        <w:t xml:space="preserve"> </w:t>
      </w:r>
      <w:r>
        <w:t xml:space="preserve">“prompting”</w:t>
      </w:r>
      <w:r>
        <w:t xml:space="preserve"> </w:t>
      </w:r>
      <w:r>
        <w:t xml:space="preserve">score that cannot diagnose</w:t>
      </w:r>
      <w:r>
        <w:t xml:space="preserve"> </w:t>
      </w:r>
      <w:r>
        <w:rPr>
          <w:i/>
          <w:iCs/>
        </w:rPr>
        <w:t xml:space="preserve">why</w:t>
      </w:r>
      <w:r>
        <w:t xml:space="preserve"> </w:t>
      </w:r>
      <w:r>
        <w:t xml:space="preserve">a student’s AI use succeeds or fails, and therefore cannot guide remediation or certify the competency. Our paper gives instructors that diagnostic instrument, grounded in learning theory, discipline-general, and open.</w:t>
      </w:r>
    </w:p>
    <w:p>
      <w:pPr>
        <w:pStyle w:val="BodyText"/>
      </w:pPr>
      <w:r>
        <w:t xml:space="preserve">We propose</w:t>
      </w:r>
      <w:r>
        <w:t xml:space="preserve"> </w:t>
      </w:r>
      <w:r>
        <w:rPr>
          <w:b/>
          <w:bCs/>
        </w:rPr>
        <w:t xml:space="preserve">CoRe-3</w:t>
      </w:r>
      <w:r>
        <w:t xml:space="preserve">, a competency model that factors productive AI use into three independently assessable skills,</w:t>
      </w:r>
      <w:r>
        <w:t xml:space="preserve"> </w:t>
      </w:r>
      <w:r>
        <w:rPr>
          <w:b/>
          <w:bCs/>
        </w:rPr>
        <w:t xml:space="preserve">Framing, Judging, and Steering (FJS)</w:t>
      </w:r>
      <w:r>
        <w:t xml:space="preserve">, anchored in metacognition and self-regulated-learning theory. Its distinguishing contribution is the separation of the pre-generation skill (Framing) from the post-generation corrective skill (Steering) that prior frameworks fuse into</w:t>
      </w:r>
      <w:r>
        <w:t xml:space="preserve"> </w:t>
      </w:r>
      <w:r>
        <w:t xml:space="preserve">“prompting.”</w:t>
      </w:r>
      <w:r>
        <w:t xml:space="preserve"> </w:t>
      </w:r>
      <w:r>
        <w:t xml:space="preserve">We state five testable propositions, instantiate the model in an open, five-language web platform that scores each skill independently, and provide a feasibility demonstration in which the three skills dissociate under automatic scoring. To guard against circularity, learners are generated by one model and graded by a different model from a different vendor, with the free-text skills scored blind to the intended competence; the resulting convergent-and-discriminant pattern is the signature of a valid measure.</w:t>
      </w:r>
    </w:p>
    <w:p>
      <w:pPr>
        <w:pStyle w:val="BodyText"/>
      </w:pPr>
      <w:r>
        <w:t xml:space="preserve">We write to be transparent about the paper’s genre so that it is read as intended. It is a conceptual contribution with a Stage-1 feasibility demonstration. Following the argument-based validity tradition (Kane, 2013; Messick, 1995), establishing that an instrument separates its target constructs is the prerequisite step that must precede human-agreement and efficacy evidence, and we deliberately resolve it with competence-controlled inputs before committing human-rater effort. That human-rater study is not a promise: we release a runnable validation package (instrument, data, codebook, per-rater task files with hidden ground truth, and seed-fixed agreement-scoring scripts) that executes on rater recruitment alone. We would therefore welcome reviewers who assess the paper as an instrument-development and framework contribution rather than as an efficacy trial. Beyond the framework, the released, runnable platform and full scoring engine let ETHE readers deploy or extend the instrument in their own courses immediately.</w:t>
      </w:r>
    </w:p>
    <w:p>
      <w:pPr>
        <w:pStyle w:val="BodyText"/>
      </w:pPr>
      <w:r>
        <w:t xml:space="preserve">The work sits squarely within the journal’s territory: AI literacy and competency assessment, self-regulated learning and metacognition, and the assessment of human-AI collaboration in higher education. Should it be helpful, we are glad to suggest non-conflicted reviewers from the evaluative-judgement, GenAI-competency-scale, and metacognitive-demands communities on request.</w:t>
      </w:r>
    </w:p>
    <w:p>
      <w:pPr>
        <w:pStyle w:val="BodyText"/>
      </w:pPr>
      <w:r>
        <w:t xml:space="preserve">We confirm that this manuscript is original, has not been published previously, and is not under consideration by any other journal; that all authors have approved the submission; that the study involves no human participants (the feasibility demonstration uses model-generated simulated learners), so ethics approval is not applicable; and that the authors declare no competing interests. The manuscript is anonymized for double-anonymous review, is approximately 8,000 words with an unstructured 248-word abstract and all required declarations, and the instrument, data, and protocol are released in a public repository whose URL is withheld during review and available to the editors on request.</w:t>
      </w:r>
    </w:p>
    <w:p>
      <w:pPr>
        <w:pStyle w:val="BodyText"/>
      </w:pPr>
      <w:r>
        <w:t xml:space="preserve">Thank you for considering our submission. We look forward to the reviewers’ feedback.</w:t>
      </w:r>
    </w:p>
    <w:p>
      <w:pPr>
        <w:pStyle w:val="BodyText"/>
      </w:pPr>
      <w:r>
        <w:t xml:space="preserve">Sincerely,</w:t>
      </w:r>
    </w:p>
    <w:p>
      <w:pPr>
        <w:pStyle w:val="BodyText"/>
      </w:pPr>
      <w:r>
        <w:rPr>
          <w:b/>
          <w:bCs/>
        </w:rPr>
        <w:t xml:space="preserve">Alexander Apartsin</w:t>
      </w:r>
      <w:r>
        <w:t xml:space="preserve">, Holon Institute of Technology</w:t>
      </w:r>
      <w:r>
        <w:t xml:space="preserve"> </w:t>
      </w:r>
      <w:r>
        <w:rPr>
          <w:b/>
          <w:bCs/>
        </w:rPr>
        <w:t xml:space="preserve">Dr. Yehudit Aperstein</w:t>
      </w:r>
      <w:r>
        <w:t xml:space="preserve"> </w:t>
      </w:r>
      <w:r>
        <w:t xml:space="preserve">(corresponding author), Afeka College of Engineering. Email: apersteiny@afeka.ac.il</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2026-07-07T09:09:08Z</dcterms:created>
  <dcterms:modified xsi:type="dcterms:W3CDTF">2026-07-07T09:09:08Z</dcterms:modified>
</cp:coreProperties>
</file>

<file path=docProps/custom.xml><?xml version="1.0" encoding="utf-8"?>
<Properties xmlns="http://schemas.openxmlformats.org/officeDocument/2006/custom-properties" xmlns:vt="http://schemas.openxmlformats.org/officeDocument/2006/docPropsVTypes"/>
</file>