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Alexander Apartsin</w:t>
      </w:r>
      <w:r>
        <w:rPr>
          <w:rFonts w:ascii="Georgia" w:hAnsi="Georgia"/>
          <w:b/>
          <w:i w:val="0"/>
          <w:sz w:val="24"/>
        </w:rPr>
        <w:t xml:space="preserve">¹ and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bCs/>
          <w:i w:val="0"/>
          <w:sz w:val="24"/>
        </w:rPr>
        <w:t xml:space="preserve">Yehudit Aperstein</w:t>
      </w:r>
      <w:r>
        <w:rPr>
          <w:rFonts w:ascii="Georgia" w:hAnsi="Georgia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¹ Holon Institute of Technology · ² Afeka College of Engineering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Corresponding author: Dr. Yehudit Aperstein, Afeka College of Engineering.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a university student can now produce fluent work without the thinking a degree should develop. The competency that matters is no longer solving a problem unaided but working well with a fallible machine: framing an ill-defined task, judging what the model returns, and steering it.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(specifying an ill-defined task before invoking AI), Judging (evaluating the output for errors and unstated assumptions), and Steering (iteratively 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web platform that scores each skill independently. Over simulated learners of controlled competence graded by a different model, the three grades dissociate: each tracks its own manipulated skill while staying flat in the others, and they correlate only when a single ability is shared across all three, the convergent-and-discriminant signature of a valid measure, replicated across grader backends from two vendors. We release the instrument, data, and a prepared human-rater protocol; human-rater agreement and learning outcomes are next.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Y6iJwa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Y6iJwa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b469208b37f38982902a67bd55b39b9d5195787"/>
    <w:p>
      <w:pPr>
        <w:pStyle w:val="Heading2"/>
        <w:keepNext/>
        <w:keepLines/>
        <w:widowControl w:val="1"/>
      </w:pPr>
      <w:r>
        <w:t xml:space="preserve">7. The CoReasoningLab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CoReasoningLab</w:t>
      </w:r>
      <w:r>
        <w:t xml:space="preserve">, a runnable open-source web platform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Supplementary Material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(Supplementary Material).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Supplementary Material.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CoReasoningLab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Supplementary Material,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7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End w:id="37"/>
    <w:bookmarkStart w:id="38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8"/>
    <w:bookmarkStart w:id="39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Both authors contributed to the conception and design of the competency</w:t>
      </w:r>
      <w:r>
        <w:t xml:space="preserve"> </w:t>
      </w:r>
      <w:r>
        <w:t xml:space="preserve">model, the design and implementation of the instrument and experiments, the analysis and interpretation</w:t>
      </w:r>
      <w:r>
        <w:t xml:space="preserve"> </w:t>
      </w:r>
      <w:r>
        <w:t xml:space="preserve">of the results, and the drafting and critical revision of the manuscript. Both authors read and approved</w:t>
      </w:r>
      <w:r>
        <w:t xml:space="preserve"> </w:t>
      </w:r>
      <w:r>
        <w:t xml:space="preserve">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39"/>
    <w:bookmarkStart w:id="4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0"/>
    <w:bookmarkEnd w:id="4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2026-07-07T08:44:33Z</dcterms:created>
  <dcterms:modified xsi:type="dcterms:W3CDTF">2026-07-07T08:44:33Z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