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upplementary-material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Supplementary Material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iCs/>
          <w:sz w:val="20"/>
        </w:rPr>
        <w:t xml:space="preserve">Supplementary Material for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"Beyond Prompting: Framing, Judging, and Steering as Assessable Competencies for Reasoning With Generative AI in Higher Education."</w:t>
      </w:r>
    </w:p>
    <w:bookmarkStart w:id="18" w:name="Xd731927fe112efe1edcedf5385efb1700e7c07f"/>
    <w:p>
      <w:pPr>
        <w:pStyle w:val="Heading2"/>
        <w:keepNext/>
        <w:keepLines/>
        <w:widowControl w:val="1"/>
      </w:pPr>
      <w:r>
        <w:t xml:space="preserve">1. System walkthrough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Figure A1 shows a single challenge run in CoReasoningLab,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framework's central claim that productive AI use is not one skill but three.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4786207"/>
            <wp:effectExtent b="0" l="0" r="0" t="0"/>
            <wp:docPr descr="Figure A1. A CoReasoningLab challenge run." title="" id="10" name="Picture"/>
            <a:graphic>
              <a:graphicData uri="http://schemas.openxmlformats.org/drawingml/2006/picture">
                <pic:pic>
                  <pic:nvPicPr>
                    <pic:cNvPr descr="assets/system-challenge-ru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862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A1.</w:t>
      </w:r>
      <w:r>
        <w:rPr>
          <w:b w:val="0"/>
          <w:i/>
        </w:rPr>
        <w:t xml:space="preserve"> </w:t>
      </w:r>
      <w:r>
        <w:rPr>
          <w:b w:val="0"/>
          <w:i/>
        </w:rPr>
        <w:t>Screenshot of the running platform: a learner's challenge run at the Framing phase. The engine has generated an ill-defined problem (here, an AI hiring-screening task), and the learner specifies refinements before any solution is produced. The two-phase structure is explicit in the interface, Phase 1 (Framing) and Phase 2 (the Judge-Steer cycle), and each skill is scored and given feedback independently.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4412672"/>
            <wp:effectExtent b="0" l="0" r="0" t="0"/>
            <wp:docPr descr="Figure A2. CoReasoningLab instructor course analytics." title="" id="13" name="Picture"/>
            <a:graphic>
              <a:graphicData uri="http://schemas.openxmlformats.org/drawingml/2006/picture">
                <pic:pic>
                  <pic:nvPicPr>
                    <pic:cNvPr descr="assets/system-instructor-analytic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12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A2.</w:t>
      </w:r>
      <w:r>
        <w:rPr>
          <w:b w:val="0"/>
          <w:i/>
        </w:rPr>
        <w:t xml:space="preserve"> </w:t>
      </w:r>
      <w:r>
        <w:rPr>
          <w:b w:val="0"/>
          <w:i/>
        </w:rPr>
        <w:t>Screenshot of the running platform: the instructor course-analytics view. Grade distribution is broken out into separate Framing, Judging, and Steering panels, and the per-student results list the three skills as distinct columns, the interface-level expression of the framework's central claim that productive AI use is not one skill but three.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4002832"/>
            <wp:effectExtent b="0" l="0" r="0" t="0"/>
            <wp:docPr descr="Figure A3. Auto-generation and assessment pipeline of the CoReasoningLab engine." title="" id="16" name="Picture"/>
            <a:graphic>
              <a:graphicData uri="http://schemas.openxmlformats.org/drawingml/2006/picture">
                <pic:pic>
                  <pic:nvPicPr>
                    <pic:cNvPr descr="E:/tmp/html2doc_svg_Z9uQN3/svg_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02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A3.</w:t>
      </w:r>
      <w:r>
        <w:rPr>
          <w:b w:val="0"/>
          <w:i/>
        </w:rPr>
        <w:t xml:space="preserve"> </w:t>
      </w:r>
      <w:r>
        <w:rPr>
          <w:b w:val="0"/>
          <w:i/>
        </w:rPr>
        <w:t>The sixteen-prompt engine in two phases. In authoring, the instructor names a subject and the engine generates the ill-defined problem (prompt 01), three per-skill rubrics and a gold framing (02, 14), and a deliberately flawed AI solution carrying seeded issues (03). In assessment, each learner response is scored against a different referent: Framing against the gold framing and rubric (08), Judging against the seeded issues (09), and Steering against the corrected trajectory after the output is re-run (04, 10); a single grader prompt (11) then assigns each skill its own grade, and the three feed the per-student report and course analytics. Because the three evaluation prompts interrogate different referents, the grades are produced independently rather than as one global impression.</w:t>
      </w:r>
    </w:p>
    <w:bookmarkEnd w:id="18"/>
    <w:bookmarkStart w:id="19" w:name="X172263cace3c3e7541464a413a91e8a3f874842"/>
    <w:p>
      <w:pPr>
        <w:pStyle w:val="Heading2"/>
        <w:keepNext/>
        <w:keepLines/>
        <w:widowControl w:val="1"/>
      </w:pPr>
      <w:r>
        <w:t xml:space="preserve">2. Robustness and ablations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each, an independent sample each time at the</w:t>
      </w:r>
      <w:r>
        <w:t xml:space="preserve"> </w:t>
      </w:r>
      <w:r>
        <w:t xml:space="preserve">production temperatures.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9.3). Because Judging contributes a</w:t>
      </w:r>
      <w:r>
        <w:t xml:space="preserve"> </w:t>
      </w:r>
      <w:r>
        <w:t xml:space="preserve">flip rate of zero by construction, the load-bearing figure is the blind-graded skills, whose flip rate</w:t>
      </w:r>
      <w:r>
        <w:t xml:space="preserve"> </w:t>
      </w:r>
      <w:r>
        <w:t xml:space="preserve">is near 0.12.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Grader-backend robustness (across vendors).</w:t>
      </w:r>
      <w:r>
        <w:t xml:space="preserve"> </w:t>
      </w:r>
      <w:r>
        <w:t xml:space="preserve">The dissociation holds across three grader backends</w:t>
      </w:r>
      <w:r>
        <w:t xml:space="preserve"> </w:t>
      </w:r>
      <w:r>
        <w:t xml:space="preserve">spanning two providers. The primary grades come from gpt-4o; re-grading the identical 40 transcripts</w:t>
      </w:r>
      <w:r>
        <w:t xml:space="preserve"> </w:t>
      </w:r>
      <w:r>
        <w:t xml:space="preserve">(challenges and learner responses held fixed) with gpt-4o-mini reproduces it (diagonal +0.47 versus</w:t>
      </w:r>
      <w:r>
        <w:t xml:space="preserve"> </w:t>
      </w:r>
      <w:r>
        <w:t xml:space="preserve">off-diagonal +0.07), and re-grading the same transcripts with an independent-vendor model,</w:t>
      </w:r>
      <w:r>
        <w:t xml:space="preserve"> </w:t>
      </w:r>
      <w:r>
        <w:t xml:space="preserve">Meta's llama-3.3-70b (the prototype's own engine), reproduces it again with a stronger margin:</w:t>
      </w:r>
      <w:r>
        <w:t xml:space="preserve"> </w:t>
      </w:r>
      <w:r>
        <w:t xml:space="preserve">own-skill effects of +0.80 (Framing), +0.75 (Judging), and +0.40 (Steering) against a mean cross-skill</w:t>
      </w:r>
      <w:r>
        <w:t xml:space="preserve"> </w:t>
      </w:r>
      <w:r>
        <w:t xml:space="preserve">effect of +0.02, a diagonal-to-off-diagonal ratio of 39. Two facts stand out across backends. First,</w:t>
      </w:r>
      <w:r>
        <w:t xml:space="preserve"> </w:t>
      </w:r>
      <w:r>
        <w:t xml:space="preserve">Judging's own-effect is +2.00 only under gpt-4o's strict adherence to the seeded-issue selection; under</w:t>
      </w:r>
      <w:r>
        <w:t xml:space="preserve"> </w:t>
      </w:r>
      <w:r>
        <w:t xml:space="preserve">both gpt-4o-mini and the independent-vendor llama it settles to +0.65 and +0.75, level with Framing</w:t>
      </w:r>
      <w:r>
        <w:t xml:space="preserve"> </w:t>
      </w:r>
      <w:r>
        <w:t xml:space="preserve">(+0.65 and +0.80), so the separation is balanced across all three skills, not propped up by the built-in</w:t>
      </w:r>
      <w:r>
        <w:t xml:space="preserve"> </w:t>
      </w:r>
      <w:r>
        <w:t xml:space="preserve">Judging diagonal. Second, every backend reproduces the designed contrast profiles (a strong-framer /</w:t>
      </w:r>
      <w:r>
        <w:t xml:space="preserve"> </w:t>
      </w:r>
      <w:r>
        <w:t xml:space="preserve">weak-judge learner scores high Framing and low Judging, and the inverse for a weak-framer / strong-judge</w:t>
      </w:r>
      <w:r>
        <w:t xml:space="preserve"> </w:t>
      </w:r>
      <w:r>
        <w:t xml:space="preserve">learner), which a single general-ability account cannot produce. Because the result holds across three</w:t>
      </w:r>
      <w:r>
        <w:t xml:space="preserve"> </w:t>
      </w:r>
      <w:r>
        <w:t xml:space="preserve">independently-versioned models from two vendors (gpt-4o, gpt-4o-mini, and Meta's llama-3.3-70b), it does</w:t>
      </w:r>
      <w:r>
        <w:t xml:space="preserve"> </w:t>
      </w:r>
      <w:r>
        <w:t xml:space="preserve">not hinge on a single model snapshot; the released harness pins the model identifiers so the run</w:t>
      </w:r>
      <w:r>
        <w:t xml:space="preserve"> </w:t>
      </w:r>
      <w:r>
        <w:t xml:space="preserve">reproduces, and the cross-backend agreement is the evidence that it generalizes beyond any one of them.</w:t>
      </w:r>
      <w:r>
        <w:t xml:space="preserve"> </w:t>
      </w:r>
      <w:r>
        <w:t xml:space="preserve">Cross-vendor replication is therefore established, not deferred.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Dependence on ground-truth scaffolding.</w:t>
      </w:r>
      <w:r>
        <w:t xml:space="preserve"> </w:t>
      </w:r>
      <w:r>
        <w:t xml:space="preserve">To probe how much the instrument's discrimination relies on</w:t>
      </w:r>
      <w:r>
        <w:t xml:space="preserve"> </w:t>
      </w:r>
      <w:r>
        <w:t xml:space="preserve">the seeded ground truth (the gold framing supplied to the framing evaluator and the known seeded issues</w:t>
      </w:r>
      <w:r>
        <w:t xml:space="preserve"> </w:t>
      </w:r>
      <w:r>
        <w:t xml:space="preserve">supplied to the judging evaluator) versus the model's own judgment, we re-grade a 40-learner subset</w:t>
      </w:r>
      <w:r>
        <w:t xml:space="preserve"> </w:t>
      </w:r>
      <w:r>
        <w:t xml:space="preserve">(five subjects) with that scaffolding removed, comparing against that subset's own baseline (Framing</w:t>
      </w:r>
      <w:r>
        <w:t xml:space="preserve"> </w:t>
      </w:r>
      <w:r>
        <w:t xml:space="preserve">+0.60, Judging +2.00, Steering +0.50). The effect is sharply skill-specific. Framing discrimination is essentially</w:t>
      </w:r>
      <w:r>
        <w:t xml:space="preserve"> </w:t>
      </w:r>
      <w:r>
        <w:t xml:space="preserve">unaffected (own-effect +0.75 without the gold reference, versus +0.60 with it): the rubric and the</w:t>
      </w:r>
      <w:r>
        <w:t xml:space="preserve"> </w:t>
      </w:r>
      <w:r>
        <w:t xml:space="preserve">model's own judgment carry it. Judging discrimination, by contrast, falls sharply (+2.00 to +0.45):</w:t>
      </w:r>
      <w:r>
        <w:t xml:space="preserve"> </w:t>
      </w:r>
      <w:r>
        <w:t xml:space="preserve">without the known issues the grader has no recall-precision anchor and no longer separates strong from</w:t>
      </w:r>
      <w:r>
        <w:t xml:space="preserve"> </w:t>
      </w:r>
      <w:r>
        <w:t xml:space="preserve">weak judging. Steering falls in between (+0.50 to +0.25). The skills still</w:t>
      </w:r>
      <w:r>
        <w:t xml:space="preserve"> </w:t>
      </w:r>
      <w:r>
        <w:t xml:space="preserve">dissociate (ratio 29), and the result pinpoints what each grade measures: Framing and Steering are</w:t>
      </w:r>
      <w:r>
        <w:t xml:space="preserve"> </w:t>
      </w:r>
      <w:r>
        <w:t xml:space="preserve">scored largely by rubric-guided model judgment, whereas Judging</w:t>
      </w:r>
      <w:r>
        <w:t xml:space="preserve"> </w:t>
      </w:r>
      <w:r>
        <w:rPr>
          <w:i/>
          <w:iCs/>
        </w:rPr>
        <w:t xml:space="preserve">as instrumented here</w:t>
      </w:r>
      <w:r>
        <w:t xml:space="preserve"> </w:t>
      </w:r>
      <w:r>
        <w:t xml:space="preserve">tracks agreement</w:t>
      </w:r>
      <w:r>
        <w:t xml:space="preserve"> </w:t>
      </w:r>
      <w:r>
        <w:t xml:space="preserve">with a known answer key. This both explains Judging's by-construction +2.00 and locates the Judging</w:t>
      </w:r>
      <w:r>
        <w:t xml:space="preserve"> </w:t>
      </w:r>
      <w:r>
        <w:t xml:space="preserve">score precisely: it applies where ground truth is known, and open-ended judging without a key is the</w:t>
      </w:r>
      <w:r>
        <w:t xml:space="preserve"> </w:t>
      </w:r>
      <w:r>
        <w:t xml:space="preserve">distinct instrumentation Section 9.3 specifies.</w:t>
      </w:r>
    </w:p>
    <w:bookmarkEnd w:id="19"/>
    <w:bookmarkStart w:id="20" w:name="Xaa4be1d615ab66697a9585f351baef3e019719d"/>
    <w:p>
      <w:pPr>
        <w:pStyle w:val="Heading2"/>
        <w:keepNext/>
        <w:keepLines/>
        <w:widowControl w:val="1"/>
      </w:pPr>
      <w:r>
        <w:t xml:space="preserve">3. Cross-disciplinary challenge showcase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framework and the platform are domain-general. An ill-defined problem with seeded flaws, three</w:t>
      </w:r>
      <w:r>
        <w:t xml:space="preserve"> </w:t>
      </w:r>
      <w:r>
        <w:t xml:space="preserve">per-skill rubrics, and a deliberately-imperfect AI solution can be generated for any subject, because</w:t>
      </w:r>
      <w:r>
        <w:t xml:space="preserve"> </w:t>
      </w:r>
      <w:r>
        <w:t xml:space="preserve">each is produced by a prompt that an educator parameterizes with a course and topic. The released</w:t>
      </w:r>
      <w:r>
        <w:t xml:space="preserve"> </w:t>
      </w:r>
      <w:r>
        <w:t xml:space="preserve">platform ships challenge content across twelve disciplines (Table C1) spanning STEM, the social</w:t>
      </w:r>
      <w:r>
        <w:t xml:space="preserve"> </w:t>
      </w:r>
      <w:r>
        <w:t xml:space="preserve">sciences, the humanities, law, and professional and education fields. CoReasoningLab is in this sense</w:t>
      </w:r>
      <w:r>
        <w:t xml:space="preserve"> </w:t>
      </w:r>
      <w:r>
        <w:t xml:space="preserve">not a computing-education tool but a generic instrument for any discipline in which a learner must</w:t>
      </w:r>
      <w:r>
        <w:t xml:space="preserve"> </w:t>
      </w:r>
      <w:r>
        <w:t xml:space="preserve">specify an ill-defined task, judge a fallible solution, and steer it toward a better one.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C1.</w:t>
      </w:r>
      <w:r>
        <w:rPr>
          <w:b w:val="0"/>
          <w:i/>
        </w:rPr>
        <w:t xml:space="preserve"> </w:t>
      </w:r>
      <w:r>
        <w:rPr>
          <w:b w:val="0"/>
          <w:i/>
        </w:rPr>
        <w:t>Disciplines covered by the released challenge content.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Area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Disciplines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STEM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Computer Science (algorithms); Physics (classical mechanics); Mathematics (linear algebra); Electrical Engineering (signal processing); Biology (molecular biology)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Social sciences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Economics (microeconomics); Political Science (international relations); Psychology (cognitive psychology)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Humanities and law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Philosophy (applied ethics); Law (constitutional law)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Professional and education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Business (organizational behavior); Education (educational technology)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four examples below are real ill-defined problems the platform generated, in applied ethics,</w:t>
      </w:r>
      <w:r>
        <w:t xml:space="preserve"> </w:t>
      </w:r>
      <w:r>
        <w:t xml:space="preserve">physics, instructional design, and computing, each of which a learner must Frame before the AI produces</w:t>
      </w:r>
      <w:r>
        <w:t xml:space="preserve"> </w:t>
      </w:r>
      <w:r>
        <w:t xml:space="preserve">a flawed solution to Judge and Steer: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Applied ethics.</w:t>
      </w:r>
      <w:r>
        <w:t xml:space="preserve"> </w:t>
      </w:r>
      <w:r>
        <w:t xml:space="preserve">"As a member of the AI Ethics Committee at a technology company, you have been tasked with developing a set of ethical guidelines for the deployment of a new AI system."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Physics.</w:t>
      </w:r>
      <w:r>
        <w:t xml:space="preserve"> </w:t>
      </w:r>
      <w:r>
        <w:t xml:space="preserve">"As part of a project for a local amusement park, design a new ride that involves a projectile-motion component, and analyze the outcomes."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Instructional design (education).</w:t>
      </w:r>
      <w:r>
        <w:t xml:space="preserve"> </w:t>
      </w:r>
      <w:r>
        <w:t xml:space="preserve">"Our organization is developing a new training program on effective communication skills. Design a backward lesson plan."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Computer science.</w:t>
      </w:r>
      <w:r>
        <w:t xml:space="preserve"> </w:t>
      </w:r>
      <w:r>
        <w:t xml:space="preserve">"Our company is building a navigation app. Design an algorithm that computes the shortest path between two locations on a road network with varying travel speeds, possible road closures, and concurrent route requests."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deliberate gaps differ by discipline (a missing fairness criterion in the ethics task, an unstated</w:t>
      </w:r>
      <w:r>
        <w:t xml:space="preserve"> </w:t>
      </w:r>
      <w:r>
        <w:t xml:space="preserve">launch or safety constraint in the physics task, undefined learning objectives in the lesson-plan task),</w:t>
      </w:r>
      <w:r>
        <w:t xml:space="preserve"> </w:t>
      </w:r>
      <w:r>
        <w:t xml:space="preserve">but the learner's work is identical across all of them: specify the task (Framing), evaluate the AI's</w:t>
      </w:r>
      <w:r>
        <w:t xml:space="preserve"> </w:t>
      </w:r>
      <w:r>
        <w:t xml:space="preserve">flawed solution (Judging), and redirect it toward an adequate one (Steering). Full per-discipline session</w:t>
      </w:r>
      <w:r>
        <w:t xml:space="preserve"> </w:t>
      </w:r>
      <w:r>
        <w:t xml:space="preserve">logs ship with the platform.</w:t>
      </w:r>
    </w:p>
    <w:bookmarkEnd w:id="20"/>
    <w:bookmarkEnd w:id="21"/>
    <w:sectPr w:rsidR="00FC693F" w:rsidRPr="0006063C" w:rsidSect="00034616">
      <w:footerReference w:type="default" r:id="rId10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Georgia" w:hAnsi="Georgia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Georgia" w:hAnsi="Georgia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Georgia" w:asciiTheme="majorHAnsi" w:cstheme="majorBidi" w:eastAsiaTheme="majorEastAsia" w:hAnsi="Georgia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Georgia" w:asciiTheme="majorHAnsi" w:cstheme="majorBidi" w:eastAsiaTheme="majorEastAsia" w:hAnsi="Georgia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Georgia" w:hAnsi="Georgia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Georgia" w:hAnsi="Georgia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Georgia" w:hAnsi="Georgia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Georgia" w:hAnsi="Georgia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Georgia" w:hAnsi="Georgia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Georgia" w:hAnsi="Georgia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Georgia" w:hAnsi="Georgia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Georgia" w:hAnsi="Georgia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Georgia" w:hAnsi="Georgia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9" Type="http://schemas.openxmlformats.org/officeDocument/2006/relationships/image" Target="media/rId9.png"/><Relationship Id="rId12" Type="http://schemas.openxmlformats.org/officeDocument/2006/relationships/image" Target="media/rId12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2026-07-07T08:44:38Z</dcterms:created>
  <dcterms:modified xsi:type="dcterms:W3CDTF">2026-07-07T08:44:38Z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