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AI use succeeds or fails. We propose</w:t>
      </w:r>
      <w:r>
        <w:t xml:space="preserve"> </w:t>
      </w:r>
      <w:r>
        <w:rPr>
          <w:b/>
          <w:bCs/>
        </w:rPr>
        <w:t xml:space="preserve">CoRe-3</w:t>
      </w:r>
      <w:r>
        <w:t xml:space="preserve"> </w:t>
      </w:r>
      <w:r>
        <w:t xml:space="preserve">(Co-Reasoning), a competency model factoring productive AI use into three assessable skills we abbreviate</w:t>
      </w:r>
      <w:r>
        <w:t xml:space="preserve"> </w:t>
      </w:r>
      <w:r>
        <w:rPr>
          <w:b/>
          <w:bCs/>
        </w:rPr>
        <w:t xml:space="preserve">FJS</w:t>
      </w:r>
      <w:r>
        <w:t xml:space="preserve">:</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CoReasoningLab</w:t>
      </w:r>
      <w:r>
        <w:t xml:space="preserve">, an open platform that presents flawed AI output and scores them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next;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uCca4l/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CoRe-3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CoRe-3</w:t>
      </w:r>
      <w:r>
        <w:t xml:space="preserve"> </w:t>
      </w:r>
      <w:r>
        <w:t xml:space="preserve">(Co-Reasoning), a competency model that decomposes productive work with generative AI into</w:t>
      </w:r>
      <w:r>
        <w:t xml:space="preserve"> </w:t>
      </w:r>
      <w:r>
        <w:t xml:space="preserve">three distinct skills, each independently assessable and collectively abbreviated</w:t>
      </w:r>
      <w:r>
        <w:t xml:space="preserve"> </w:t>
      </w:r>
      <w:r>
        <w:rPr>
          <w:b/>
          <w:bCs/>
        </w:rPr>
        <w:t xml:space="preserve">FJS</w:t>
      </w:r>
      <w:r>
        <w:t xml:space="preserv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each skill carries an explicit theoretical</w:t>
      </w:r>
      <w:r>
        <w:t xml:space="preserve"> </w:t>
      </w:r>
      <w:r>
        <w:t xml:space="preserve">warrant.</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proposing new relationships among the constructs (Gilson &amp; Goldberg, 2015;</w:t>
      </w:r>
      <w:r>
        <w:t xml:space="preserve"> </w:t>
      </w:r>
      <w:r>
        <w:t xml:space="preserve">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delineating what the model contributes beyond each.</w:t>
      </w:r>
    </w:p>
    <w:p>
      <w:pPr>
        <w:pStyle w:val="Compact"/>
        <w:numPr>
          <w:ilvl w:val="0"/>
          <w:numId w:val="1002"/>
        </w:numPr>
        <w:ind w:left="360" w:hanging="259"/>
        <w:jc w:val="both"/>
        <w:keepNext w:val="0"/>
        <w:keepLines w:val="0"/>
        <w:widowControl w:val="1"/>
      </w:pPr>
      <w:r>
        <w:rPr>
          <w:b/>
          <w:bCs/>
        </w:rPr>
        <w:t xml:space="preserve">An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three skills are separately measurable and genuinely distinct.</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CoRe-3 addresses.</w:t>
      </w:r>
    </w:p>
    <w:bookmarkEnd w:id="14"/>
    <w:bookmarkStart w:id="21" w:name="X49d7beb9babb458bb4a3c64984f644552ecde42"/>
    <w:p>
      <w:pPr>
        <w:pStyle w:val="Heading2"/>
        <w:keepNext/>
        <w:keepLines/>
        <w:widowControl w:val="1"/>
      </w:pPr>
      <w:r>
        <w:t xml:space="preserve">3. The CoRe-3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FJS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CoRe-3,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3 architecture." title="" id="16" name="Picture"/>
            <a:graphic>
              <a:graphicData uri="http://schemas.openxmlformats.org/drawingml/2006/picture">
                <pic:pic>
                  <pic:nvPicPr>
                    <pic:cNvPr descr="C:/Users/apart/AppData/Local/Temp/html2doc_svg_uCca4l/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CoRe-3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CoRe-3's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CoRe-3's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CoRe-3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CoRe-3's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CoRe-3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CoRe-3 rejects. Treating them</w:t>
      </w:r>
      <w:r>
        <w:t xml:space="preserve"> </w:t>
      </w:r>
      <w:r>
        <w:t xml:space="preserve">separately is consequential: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CoRe-3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CoRe-3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FJS skills (Framing, Judging, Steering).</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fused into</w:t>
            </w:r>
            <w:r>
              <w:rPr>
                <w:rFonts w:ascii="Georgia" w:hAnsi="Georgia"/>
                <w:sz w:val="19"/>
              </w:rPr>
              <w:t xml:space="preserve"> </w:t>
            </w:r>
            <w:r>
              <w:rPr>
                <w:rFonts w:ascii="Georgia" w:hAnsi="Georgia"/>
                <w:sz w:val="19"/>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CoRe-3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CoRe-3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CoRe-3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CoRe-3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contribution is the</w:t>
      </w:r>
      <w:r>
        <w:t xml:space="preserve"> </w:t>
      </w:r>
      <w:r>
        <w:rPr>
          <w:i/>
          <w:iCs/>
        </w:rPr>
        <w:t xml:space="preserve">separation</w:t>
      </w:r>
      <w:r>
        <w:t xml:space="preserve"> </w:t>
      </w:r>
      <w:r>
        <w:t xml:space="preserve">itself, which is both theoretically motivated</w:t>
      </w:r>
      <w:r>
        <w:t xml:space="preserve"> </w:t>
      </w:r>
      <w:r>
        <w:t xml:space="preserve">(monitor-control plus an upstream task definition) and empirically consequential (the skills can be</w:t>
      </w:r>
      <w:r>
        <w:t xml:space="preserve"> </w:t>
      </w:r>
      <w:r>
        <w:t xml:space="preserve">measured apart).</w:t>
      </w:r>
    </w:p>
    <w:bookmarkEnd w:id="24"/>
    <w:bookmarkStart w:id="25" w:name="Xb469208b37f38982902a67bd55b39b9d5195787"/>
    <w:p>
      <w:pPr>
        <w:pStyle w:val="Heading2"/>
        <w:keepNext/>
        <w:keepLines/>
        <w:widowControl w:val="1"/>
      </w:pPr>
      <w:r>
        <w:t xml:space="preserve">7. The CoReasoningLab system</w:t>
      </w:r>
    </w:p>
    <w:p>
      <w:pPr>
        <w:pStyle w:val="FirstParagraph"/>
        <w:jc w:val="both"/>
        <w:keepNext w:val="0"/>
        <w:keepLines w:val="0"/>
        <w:widowControl w:val="1"/>
      </w:pPr>
      <w:r>
        <w:t xml:space="preserve">The framework is instantiated in</w:t>
      </w:r>
      <w:r>
        <w:t xml:space="preserve"> </w:t>
      </w:r>
      <w:r>
        <w:rPr>
          <w:i/>
          <w:iCs/>
        </w:rPr>
        <w:t xml:space="preserve">CoReasoningLab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da76768f9859ddfff08169db8cdc74bf43af05b"/>
    <w:p>
      <w:pPr>
        <w:pStyle w:val="Heading2"/>
        <w:keepNext/>
        <w:keepLines/>
        <w:widowControl w:val="1"/>
      </w:pPr>
      <w:r>
        <w:t xml:space="preserve">7.1 Operationalization: the assessment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CoRe-3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rPr>
                  <m:sty m:val="p"/>
                </m:rPr>
                <m:t>|</m:t>
              </m:r>
              <m:r>
                <m:t>ρ</m:t>
              </m:r>
              <m:r>
                <m:rPr>
                  <m:sty m:val="p"/>
                </m:rPr>
                <m:t>|</m:t>
              </m:r>
            </m:oMath>
            <w:r>
              <w:rPr>
                <w:rFonts w:ascii="Georgia" w:hAnsi="Georgia"/>
                <w:sz w:val="19"/>
              </w:rPr>
              <w:t xml:space="preserve"> </w:t>
            </w:r>
            <w:r>
              <w:rPr>
                <w:rFonts w:ascii="Georgia" w:hAnsi="Georgia"/>
                <w:sz w:val="19"/>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w:t>
            </w:r>
            <w:r>
              <w:rPr>
                <w:rFonts w:ascii="Georgia" w:hAnsi="Georgia"/>
                <w:sz w:val="19"/>
              </w:rPr>
              <w:t xml:space="preserve"> </w:t>
            </w:r>
            <m:oMath>
              <m:r>
                <m:t>ρ</m:t>
              </m:r>
            </m:oMath>
            <w:r>
              <w:rPr>
                <w:rFonts w:ascii="Georgia" w:hAnsi="Georgia"/>
                <w:sz w:val="19"/>
              </w:rPr>
              <w:t xml:space="preserve"> </w:t>
            </w:r>
            <w:r>
              <w:rPr>
                <w:rFonts w:ascii="Georgia" w:hAnsi="Georgia"/>
                <w:sz w:val="19"/>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CoRe-3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working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CoRe-3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38"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38"/>
    <w:bookmarkStart w:id="48"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Lab challenge run." title="" id="40" name="Picture"/>
            <a:graphic>
              <a:graphicData uri="http://schemas.openxmlformats.org/drawingml/2006/picture">
                <pic:pic>
                  <pic:nvPicPr>
                    <pic:cNvPr descr="assets/system-challenge-run.png" id="41" name="Picture"/>
                    <pic:cNvPicPr>
                      <a:picLocks noChangeArrowheads="1" noChangeAspect="1"/>
                    </pic:cNvPicPr>
                  </pic:nvPicPr>
                  <pic:blipFill>
                    <a:blip r:embed="rId39"/>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Lab instructor course analytics." title="" id="43" name="Picture"/>
            <a:graphic>
              <a:graphicData uri="http://schemas.openxmlformats.org/drawingml/2006/picture">
                <pic:pic>
                  <pic:nvPicPr>
                    <pic:cNvPr descr="assets/system-instructor-analytics.png" id="44" name="Picture"/>
                    <pic:cNvPicPr>
                      <a:picLocks noChangeArrowheads="1" noChangeAspect="1"/>
                    </pic:cNvPicPr>
                  </pic:nvPicPr>
                  <pic:blipFill>
                    <a:blip r:embed="rId42"/>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Lab engine." title="" id="46" name="Picture"/>
            <a:graphic>
              <a:graphicData uri="http://schemas.openxmlformats.org/drawingml/2006/picture">
                <pic:pic>
                  <pic:nvPicPr>
                    <pic:cNvPr descr="C:/Users/apart/AppData/Local/Temp/html2doc_svg_uCca4l/svg_2.png" id="47" name="Picture"/>
                    <pic:cNvPicPr>
                      <a:picLocks noChangeArrowheads="1" noChangeAspect="1"/>
                    </pic:cNvPicPr>
                  </pic:nvPicPr>
                  <pic:blipFill>
                    <a:blip r:embed="rId45"/>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8"/>
    <w:bookmarkStart w:id="49"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9"/>
    <w:bookmarkStart w:id="50"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5" Type="http://schemas.openxmlformats.org/officeDocument/2006/relationships/image" Target="media/rId45.png"/><Relationship Id="rId30" Type="http://schemas.openxmlformats.org/officeDocument/2006/relationships/image" Target="media/rId30.png"/><Relationship Id="rId27" Type="http://schemas.openxmlformats.org/officeDocument/2006/relationships/image" Target="media/rId27.png"/><Relationship Id="rId39" Type="http://schemas.openxmlformats.org/officeDocument/2006/relationships/image" Target="media/rId39.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2026-06-03T10:52:53Z</dcterms:created>
  <dcterms:modified xsi:type="dcterms:W3CDTF">2026-06-03T10:52:53Z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