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we report a feasibility demonstration that the instrument’s</w:t>
      </w:r>
      <w:r>
        <w:t xml:space="preserve"> </w:t>
      </w:r>
      <w:r>
        <w:t xml:space="preserve">per-skill grades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 its own manipulated competence and stays</w:t>
      </w:r>
      <w:r>
        <w:t xml:space="preserve"> </w:t>
      </w:r>
      <w:r>
        <w:t xml:space="preserve">near-flat in the others. The decisive evidence is the two blind-graded skills, Framing and Steering,</w:t>
      </w:r>
      <w:r>
        <w:t xml:space="preserve"> </w:t>
      </w:r>
      <w:r>
        <w:t xml:space="preserve">which show positive own-competence effects (+0.6 and +0.5 grade points) with near-zero cross-effects</w:t>
      </w:r>
      <w:r>
        <w:t xml:space="preserve"> </w:t>
      </w:r>
      <w:r>
        <w:t xml:space="preserve">and near-zero inter-skill correlations; the grader is also internally consistent across repeats. We</w:t>
      </w:r>
      <w:r>
        <w:t xml:space="preserve"> </w:t>
      </w:r>
      <w:r>
        <w:t xml:space="preserve">make no learning-outcome claims: because the learners are simulated and the grades are not yet</w:t>
      </w:r>
      <w:r>
        <w:t xml:space="preserve"> </w:t>
      </w:r>
      <w:r>
        <w:t xml:space="preserve">validated against human raters, this is evidence of</w:t>
      </w:r>
      <w:r>
        <w:t xml:space="preserve"> </w:t>
      </w:r>
      <w:r>
        <w:rPr>
          <w:i/>
          <w:iCs/>
        </w:rPr>
        <w:t xml:space="preserve">construct separability and automatic</w:t>
      </w:r>
      <w:r>
        <w:rPr>
          <w:i/>
          <w:iCs/>
        </w:rPr>
        <w:t xml:space="preserve"> </w:t>
      </w:r>
      <w:r>
        <w:rPr>
          <w:i/>
          <w:iCs/>
        </w:rPr>
        <w:t xml:space="preserve">measurability of the instrument</w:t>
      </w:r>
      <w:r>
        <w:t xml:space="preserve">, not of human learning, and we close with the validity agenda that</w:t>
      </w:r>
      <w:r>
        <w:t xml:space="preserve"> </w:t>
      </w:r>
      <w:r>
        <w:t xml:space="preserve">would establish the latter.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(the 2024 essay-writing literature),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66ab742d2d29b469acd8c125b52c7b6e582e57f"/>
    <w:p>
      <w:pPr>
        <w:pStyle w:val="Heading3"/>
      </w:pPr>
      <w:r>
        <w:t xml:space="preserve">3.1 A monitor–control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The extension is non-trivial because exo-directed monitoring</w:t>
      </w:r>
      <w:r>
        <w:t xml:space="preserve"> </w:t>
      </w:r>
      <w:r>
        <w:t xml:space="preserve">adds an epistemic-vigilance burden absent from self-monitoring (the learner must model the reliability</w:t>
      </w:r>
      <w:r>
        <w:t xml:space="preserve"> </w:t>
      </w:r>
      <w:r>
        <w:t xml:space="preserve">of a source whose competence differs from, and is opaque to, their own), which is exactly why Judging</w:t>
      </w:r>
      <w:r>
        <w:t xml:space="preserve"> </w:t>
      </w:r>
      <w:r>
        <w:t xml:space="preserve">is bounded by domain knowledge (Proposition P4). With that caveat stated,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monitor–control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guidance; its quality depends on the learner monitoring the work against held standards</w:t>
      </w:r>
      <w:r>
        <w:t xml:space="preserve"> </w:t>
      </w:r>
      <w:r>
        <w:t xml:space="preserve">(Sadler, 1989) 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learner’s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, a library of sixteen prompts plus</w:t>
      </w:r>
      <w:r>
        <w:t xml:space="preserve"> </w:t>
      </w:r>
      <w:r>
        <w:t xml:space="preserve">a controlled-generation harness (Section 7.1); the interface figures in this paper (Figures A1–A2) are</w:t>
      </w:r>
      <w:r>
        <w:t xml:space="preserve"> </w:t>
      </w:r>
      <w:r>
        <w:t xml:space="preserve">representative mockups of that prototype rather than screenshots of a running deployment, and all</w:t>
      </w:r>
      <w:r>
        <w:t xml:space="preserve"> </w:t>
      </w:r>
      <w:r>
        <w:t xml:space="preserve">quantitative 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 —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 —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five challenges across distinct</w:t>
      </w:r>
      <w:r>
        <w:t xml:space="preserve"> </w:t>
      </w:r>
      <w:r>
        <w:t xml:space="preserve">subjects (algorithms, microeconomics, machine learning, databases, statistics), for 40 simulated</w:t>
      </w:r>
      <w:r>
        <w:t xml:space="preserve"> </w:t>
      </w:r>
      <w:r>
        <w:t xml:space="preserve">learners and 255 blind grading calls (each learner is scored by up to seven grader calls, three</w:t>
      </w:r>
      <w:r>
        <w:t xml:space="preserve"> </w:t>
      </w:r>
      <w:r>
        <w:t xml:space="preserve">skill evaluators plus a grading pass each and one steering-update call, with identical inputs cached</w:t>
      </w:r>
      <w:r>
        <w:t xml:space="preserve"> </w:t>
      </w:r>
      <w:r>
        <w:t xml:space="preserve">across profiles). Framing and Steering responses are generated by the</w:t>
      </w:r>
      <w:r>
        <w:t xml:space="preserve"> </w:t>
      </w:r>
      <w:r>
        <w:t xml:space="preserve">competence-conditioned learner model; Judging is operationalized by a competence-conditioned selection</w:t>
      </w:r>
      <w:r>
        <w:t xml:space="preserve"> </w:t>
      </w:r>
      <w:r>
        <w:t xml:space="preserve">over the challenge’s ground-truth seeded issues (a strong judge flags all real issues and no false</w:t>
      </w:r>
      <w:r>
        <w:t xml:space="preserve"> </w:t>
      </w:r>
      <w:r>
        <w:t xml:space="preserve">ones; a weak judge flags few real issues and some false ones).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+1.03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−0.017</w:t>
      </w:r>
      <w:r>
        <w:t xml:space="preserve">. This aggregate ratio is inflated by</w:t>
      </w:r>
      <w:r>
        <w:t xml:space="preserve"> </w:t>
      </w:r>
      <w:r>
        <w:t xml:space="preserve">Judging, whose own-effect (+2.00) is fixed by construction because its competence is operationalized by</w:t>
      </w:r>
      <w:r>
        <w:t xml:space="preserve"> </w:t>
      </w:r>
      <w:r>
        <w:t xml:space="preserve">a controlled selection over ground-truth issues; we therefore do not lead with it. The decisive evidence</w:t>
      </w:r>
      <w:r>
        <w:t xml:space="preserve"> </w:t>
      </w:r>
      <w:r>
        <w:t xml:space="preserve">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</w:t>
      </w:r>
      <w:r>
        <w:t xml:space="preserve"> </w:t>
      </w:r>
      <w:r>
        <w:t xml:space="preserve">without knowing the intended competence: each shows a clear positive own-effect (+0.60 and +0.50) with</w:t>
      </w:r>
      <w:r>
        <w:t xml:space="preserve"> </w:t>
      </w:r>
      <w:r>
        <w:t xml:space="preserve">near-zero cross-effects, so a learner’s three model-assigned grades move independently. Each</w:t>
      </w:r>
      <w:r>
        <w:t xml:space="preserve"> </w:t>
      </w:r>
      <w:r>
        <w:t xml:space="preserve">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N=40).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+0.50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(+0.60, CI [+0.38, +0.81]) and Steering (+0.50, CI</w:t>
      </w:r>
      <w:r>
        <w:t xml:space="preserve"> </w:t>
      </w:r>
      <w:r>
        <w:t xml:space="preserve">[+0.18, +0.82]); Judging is deterministic by construction (+2.00). The same separation appears in the</w:t>
      </w:r>
      <w:r>
        <w:t xml:space="preserve"> </w:t>
      </w:r>
      <w:r>
        <w:t xml:space="preserve">inter-skill grade correlations across the 40 learners: Framing–Judging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0.00</m:t>
        </m:r>
      </m:oMath>
      <w:r>
        <w:t xml:space="preserve">,</w:t>
      </w:r>
      <w:r>
        <w:t xml:space="preserve"> </w:t>
      </w:r>
      <w:r>
        <w:t xml:space="preserve">Framing–Steering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0.22</m:t>
        </m:r>
      </m:oMath>
      <w:r>
        <w:t xml:space="preserve">, Judging–Steering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0.17</m:t>
        </m:r>
      </m:oMath>
      <w:r>
        <w:t xml:space="preserve">, none significant (all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0.17</m:t>
        </m:r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Framing–Judging</w:t>
      </w:r>
      <w:r>
        <w:t xml:space="preserve"> </w:t>
      </w:r>
      <w:r>
        <w:t xml:space="preserve">pair is the cleanest demonstration and the one we lead with: these two skills</w:t>
      </w:r>
      <w:r>
        <w:t xml:space="preserve"> </w:t>
      </w:r>
      <w:r>
        <w:t xml:space="preserve">are scored by entirely separate mechanisms (free-text framing evaluation versus issue-selection</w:t>
      </w:r>
      <w:r>
        <w:t xml:space="preserve"> </w:t>
      </w:r>
      <w:r>
        <w:t xml:space="preserve">judging) yet their grades are exactly uncorrelated (</w:t>
      </w:r>
      <m:oMath>
        <m:r>
          <m:t>ρ</m:t>
        </m:r>
        <m:r>
          <m:rPr>
            <m:sty m:val="p"/>
          </m:rPr>
          <m:t>=</m:t>
        </m:r>
        <m:r>
          <m:t>0.00</m:t>
        </m:r>
      </m:oMath>
      <w:r>
        <w:t xml:space="preserve">), which a single general-ability</w:t>
      </w:r>
      <w:r>
        <w:t xml:space="preserve"> </w:t>
      </w:r>
      <w:r>
        <w:t xml:space="preserve">account cannot produce. We do not lead with the Judging–Steering pair because Proposition P2 predicts a</w:t>
      </w:r>
      <w:r>
        <w:t xml:space="preserve"> </w:t>
      </w:r>
      <w:r>
        <w:t xml:space="preserve">ceiling relation between them, so some positive association there is expected and is not evidence</w:t>
      </w:r>
      <w:r>
        <w:t xml:space="preserve"> </w:t>
      </w:r>
      <w:r>
        <w:t xml:space="preserve">against separability. The first principal component accounts for 42% of the variance, but with only</w:t>
      </w:r>
      <w:r>
        <w:t xml:space="preserve"> </w:t>
      </w:r>
      <w:r>
        <w:t xml:space="preserve">three indicators a formal factor model is under-identified, so we report this descriptively rather than</w:t>
      </w:r>
      <w:r>
        <w:t xml:space="preserve"> </w:t>
      </w:r>
      <w:r>
        <w:t xml:space="preserve">as a confirmatory dimensionality test; the point is simply that the grades do not collapse onto a</w:t>
      </w:r>
      <w:r>
        <w:t xml:space="preserve"> </w:t>
      </w:r>
      <w:r>
        <w:t xml:space="preserve">single dimension.</w:t>
      </w:r>
    </w:p>
    <w:p>
      <w:pPr>
        <w:pStyle w:val="BodyText"/>
      </w:pPr>
      <w:r>
        <w:t xml:space="preserve">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and the inter-skill correlations</w:t>
      </w:r>
      <w:r>
        <w:t xml:space="preserve"> </w:t>
      </w:r>
      <w:r>
        <w:t xml:space="preserve">rather than an exploratory factor analysis. (iv) Steering shows the weakest own-effect (+0.50); Figure</w:t>
      </w:r>
      <w:r>
        <w:t xml:space="preserve"> </w:t>
      </w:r>
      <w:r>
        <w:t xml:space="preserve">3 indicates a grader-leniency floor, weak steering is seldom graded all the way to C, which compresses</w:t>
      </w:r>
      <w:r>
        <w:t xml:space="preserve"> </w:t>
      </w:r>
      <w:r>
        <w:t xml:space="preserve">the effect. This is partly an instrument artifact (the steering evaluator is lenient and would benefit</w:t>
      </w:r>
      <w:r>
        <w:t xml:space="preserve"> </w:t>
      </w:r>
      <w:r>
        <w:t xml:space="preserve">from a stricter rubric) and partly the confound that Proposition P2 predicts (steering quality is</w:t>
      </w:r>
      <w:r>
        <w:t xml:space="preserve"> </w:t>
      </w:r>
      <w:r>
        <w:t xml:space="preserve">bounded by the judging it follows). Disentangling the two requires a harsher steering rubric and human</w:t>
      </w:r>
      <w:r>
        <w:t xml:space="preserve"> </w:t>
      </w:r>
      <w:r>
        <w:t xml:space="preserve">calibration, which we leave to the validation study.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deployed prototype’s engine is llama-3.3-70b, and whether the dissociation</w:t>
      </w:r>
      <w:r>
        <w:t xml:space="preserve"> </w:t>
      </w:r>
      <w:r>
        <w:t xml:space="preserve">replicates across grader backends remains to be shown. The challenges are English-language, and the</w:t>
      </w:r>
      <w:r>
        <w:t xml:space="preserve"> </w:t>
      </w:r>
      <w:r>
        <w:t xml:space="preserve">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Judge–Steer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Bu{</w:t>
      </w:r>
      <w:r>
        <w:t xml:space="preserve">}inca,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Sauz{'e}on,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Gro{</w:t>
      </w:r>
      <w:r>
        <w:t xml:space="preserve">}e,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Ga{</w:t>
      </w:r>
      <w:r>
        <w:t xml:space="preserve">}evi{'c},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K{"a}ser,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Cl{'e}ment,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{UNESCO}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2026-06-01T07:53:04Z</dcterms:created>
  <dcterms:modified xsi:type="dcterms:W3CDTF">2026-06-01T07:53:04Z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