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svg" ContentType="image/svg+xml"/>
  <Override PartName="/word/media/rId39.png" ContentType="image/png"/>
  <Override PartName="/word/media/rId36.png" ContentType="image/png"/>
  <Override PartName="/word/media/rId50.svg" ContentType="image/svg+xml"/>
  <Override PartName="/word/media/rId4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X9dba699e1585523456db11bdab5d7e7e6909c23"/>
    <w:p>
      <w:pPr>
        <w:pStyle w:val="Heading1"/>
      </w:pPr>
      <w:r>
        <w:t xml:space="preserve">Framing, Judging, Steering: An Assessable Competency Model for Reasoning With Generative AI</w:t>
      </w:r>
    </w:p>
    <w:p>
      <w:pPr>
        <w:pStyle w:val="FirstParagraph"/>
      </w:pPr>
      <w:r>
        <w:rPr>
          <w:i/>
          <w:iCs/>
        </w:rPr>
        <w:t xml:space="preserve">Working draft — arXiv preprint. Target: Computers &amp; Education: AI (Position Paper) / AIED Blue Sky / IJAIED.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Generative AI makes it trivial to obtain an answer and difficult to obtain understanding. As large</w:t>
      </w:r>
      <w:r>
        <w:t xml:space="preserve"> </w:t>
      </w:r>
      <w:r>
        <w:t xml:space="preserve">language models are absorbed into education, the dominant design objective has been speed-to-answer,</w:t>
      </w:r>
      <w:r>
        <w:t xml:space="preserve"> </w:t>
      </w:r>
      <w:r>
        <w:t xml:space="preserve">even as a growing body of evidence links uncritical AI use to cognitive offloading and weakened</w:t>
      </w:r>
      <w:r>
        <w:t xml:space="preserve"> </w:t>
      </w:r>
      <w:r>
        <w:t xml:space="preserve">critical thinking. We argue that the educational question is not whether students use AI but</w:t>
      </w:r>
      <w:r>
        <w:t xml:space="preserve"> </w:t>
      </w:r>
      <w:r>
        <w:rPr>
          <w:i/>
          <w:iCs/>
        </w:rPr>
        <w:t xml:space="preserve">whether they use it as critical collaborators</w:t>
      </w:r>
      <w:r>
        <w:t xml:space="preserve">, and that this capability can be named, decomposed,</w:t>
      </w:r>
      <w:r>
        <w:t xml:space="preserve"> </w:t>
      </w:r>
      <w:r>
        <w:t xml:space="preserve">and assessed.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state five testable propositions about how</w:t>
      </w:r>
      <w:r>
        <w:t xml:space="preserve"> </w:t>
      </w:r>
      <w:r>
        <w:t xml:space="preserve">the skills relate, position the model against the nearest prior frameworks, and report a</w:t>
      </w:r>
      <w:r>
        <w:t xml:space="preserve"> </w:t>
      </w:r>
      <w:r>
        <w:t xml:space="preserve">proof-of-concept instrument together with a feasibility demonstration that the three skills</w:t>
      </w:r>
      <w:r>
        <w:t xml:space="preserve"> </w:t>
      </w:r>
      <w:r>
        <w:t xml:space="preserve">dissociate and can be measured automatically. We close with the tensions a mature account must</w:t>
      </w:r>
      <w:r>
        <w:t xml:space="preserve"> </w:t>
      </w:r>
      <w:r>
        <w:t xml:space="preserve">resolve and a concrete assessment-validation agenda.</w:t>
      </w:r>
    </w:p>
    <w:bookmarkEnd w:id="20"/>
    <w:bookmarkStart w:id="22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introduction of generative AI into learning environments has, by default, optimized for the</w:t>
      </w:r>
      <w:r>
        <w:t xml:space="preserve"> </w:t>
      </w:r>
      <w:r>
        <w:t xml:space="preserve">wrong variable. Most AI-in-education tools shorten the path from question to answer. Yet the answer</w:t>
      </w:r>
      <w:r>
        <w:t xml:space="preserve"> </w:t>
      </w:r>
      <w:r>
        <w:t xml:space="preserve">was never the point of education: the cognitive work of specifying a problem, evaluating a candidate</w:t>
      </w:r>
      <w:r>
        <w:t xml:space="preserve"> </w:t>
      </w:r>
      <w:r>
        <w:t xml:space="preserve">solution, and improving it is where learning happens. When that work is delegated wholesale to a</w:t>
      </w:r>
      <w:r>
        <w:t xml:space="preserve"> </w:t>
      </w:r>
      <w:r>
        <w:t xml:space="preserve">machine, the learner is left with a correct artifact and an unchanged mind.</w:t>
      </w:r>
    </w:p>
    <w:p>
      <w:pPr>
        <w:pStyle w:val="BodyText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</w:t>
      </w:r>
      <w:r>
        <w:t xml:space="preserve"> </w:t>
      </w:r>
      <w:r>
        <w:t xml:space="preserve">“</w:t>
      </w:r>
      <w:r>
        <w:t xml:space="preserve">metacognitive</w:t>
      </w:r>
      <w:r>
        <w:t xml:space="preserve"> </w:t>
      </w:r>
      <w:r>
        <w:t xml:space="preserve">laziness,</w:t>
      </w:r>
      <w:r>
        <w:t xml:space="preserve">”</w:t>
      </w:r>
      <w:r>
        <w:t xml:space="preserve"> </w:t>
      </w:r>
      <w:r>
        <w:t xml:space="preserve">in which learners bypass the self-regulatory processes of diagnosing, evaluating, and</w:t>
      </w:r>
      <w:r>
        <w:t xml:space="preserve"> </w:t>
      </w:r>
      <w:r>
        <w:t xml:space="preserve">revising (the 2024 essay-writing literature), and neurophysiological work describes an accumulation</w:t>
      </w:r>
      <w:r>
        <w:t xml:space="preserve"> </w:t>
      </w:r>
      <w:r>
        <w:t xml:space="preserve">of</w:t>
      </w:r>
      <w:r>
        <w:t xml:space="preserve"> </w:t>
      </w:r>
      <w:r>
        <w:t xml:space="preserve">“</w:t>
      </w:r>
      <w:r>
        <w:t xml:space="preserve">cognitive debt</w:t>
      </w:r>
      <w:r>
        <w:t xml:space="preserve">”</w:t>
      </w:r>
      <w:r>
        <w:t xml:space="preserve"> </w:t>
      </w:r>
      <w:r>
        <w:t xml:space="preserve">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user’s skill in directing it: assistance helps inside a model’s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(Dell’Acqua et al., 2023), and the most effective users adopt an iterative, critical</w:t>
      </w:r>
      <w:r>
        <w:t xml:space="preserve"> </w:t>
      </w:r>
      <w:r>
        <w:t xml:space="preserve">“</w:t>
      </w:r>
      <w:r>
        <w:t xml:space="preserve">push-back-and-validate</w:t>
      </w:r>
      <w:r>
        <w:t xml:space="preserve">”</w:t>
      </w:r>
      <w:r>
        <w:t xml:space="preserve"> </w:t>
      </w:r>
      <w:r>
        <w:t xml:space="preserve">mode rather than wholesale delegation (Randazzo et al., 2025).</w:t>
      </w:r>
    </w:p>
    <w:p>
      <w:pPr>
        <w:pStyle w:val="BodyText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learner’s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score conflates them.</w:t>
      </w:r>
    </w:p>
    <w:p>
      <w:pPr>
        <w:pStyle w:val="BodyText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AI’s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skills, Framing, Judging, and Steering,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turning a taxonomy into a framework with empirical commitments.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proof-of-concept instrument and feasibility demonstration</w:t>
      </w:r>
      <w:r>
        <w:t xml:space="preserve">, with cross-model controls, showing</w:t>
      </w:r>
      <w:r>
        <w:t xml:space="preserve"> </w:t>
      </w:r>
      <w:r>
        <w:t xml:space="preserve">that the three skills can be scored automatically and that they dissociate, the central evidence</w:t>
      </w:r>
      <w:r>
        <w:t xml:space="preserve"> </w:t>
      </w:r>
      <w:r>
        <w:t xml:space="preserve">against the charge that the decomposition merely relabels</w:t>
      </w:r>
      <w:r>
        <w:t xml:space="preserve"> </w:t>
      </w:r>
      <w:r>
        <w:t xml:space="preserve">“</w:t>
      </w:r>
      <w:r>
        <w:t xml:space="preserve">prompting.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prompt-based instrument, a controlled-generation harness,</w:t>
      </w:r>
      <w:r>
        <w:t xml:space="preserve"> </w:t>
      </w:r>
      <w:r>
        <w:t xml:space="preserve">and data) together with a fully prepared human-rater validation protocol for the community to run.</w:t>
      </w:r>
    </w:p>
    <w:p>
      <w:pPr>
        <w:pStyle w:val="FirstParagraph"/>
      </w:pPr>
      <w:r>
        <w:t xml:space="preserve">We make no learning-outcome claims; 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, not an efficacy study.</w:t>
      </w:r>
    </w:p>
    <w:p>
      <w:pPr>
        <w:pStyle w:val="BodyText"/>
      </w:pPr>
      <w:r>
        <w:rPr>
          <w:b/>
          <w:bCs/>
        </w:rPr>
        <w:t xml:space="preserve">Availability.</w:t>
      </w:r>
      <w:r>
        <w:t xml:space="preserve"> </w:t>
      </w:r>
      <w:r>
        <w:t xml:space="preserve">The CoReasoning Lab system, the sixteen-prompt instrument, the controlled-generation</w:t>
      </w:r>
      <w:r>
        <w:t xml:space="preserve"> </w:t>
      </w:r>
      <w:r>
        <w:t xml:space="preserve">harness, the experiment data and figures, and the human-rater study package are open-source under the</w:t>
      </w:r>
      <w:r>
        <w:t xml:space="preserve"> </w:t>
      </w:r>
      <w:r>
        <w:t xml:space="preserve">MIT license at</w:t>
      </w:r>
      <w:r>
        <w:t xml:space="preserve"> </w:t>
      </w:r>
      <w:hyperlink r:id="rId21">
        <w:r>
          <w:rPr>
            <w:rStyle w:val="Hyperlink"/>
          </w:rPr>
          <w:t xml:space="preserve">https://github.com/ApartsinProjects/CoReason</w:t>
        </w:r>
      </w:hyperlink>
      <w:r>
        <w:t xml:space="preserve">.</w:t>
      </w:r>
    </w:p>
    <w:bookmarkEnd w:id="22"/>
    <w:bookmarkStart w:id="23" w:name="X17376d58bcb93231038f1530b731c55944db2e6"/>
    <w:p>
      <w:pPr>
        <w:pStyle w:val="Heading2"/>
      </w:pPr>
      <w:r>
        <w:t xml:space="preserve">2. The problem with current AI-literacy assessment</w:t>
      </w:r>
    </w:p>
    <w:p>
      <w:pPr>
        <w:pStyle w:val="FirstParagraph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</w:pPr>
      <w:r>
        <w:t xml:space="preserve">The cost of this coarse resolution is diagnostic. When a learner’s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remedies, teaching problem</w:t>
      </w:r>
      <w:r>
        <w:t xml:space="preserve"> </w:t>
      </w:r>
      <w:r>
        <w:t xml:space="preserve">specification, teaching critical evaluation, and teaching corrective communication,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AI’s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23"/>
    <w:bookmarkStart w:id="30" w:name="the-coreasoning-framework"/>
    <w:p>
      <w:pPr>
        <w:pStyle w:val="Heading2"/>
      </w:pPr>
      <w:r>
        <w:t xml:space="preserve">3. The CoReasoning framework</w:t>
      </w:r>
    </w:p>
    <w:bookmarkStart w:id="27" w:name="X66ab742d2d29b469acd8c125b52c7b6e582e57f"/>
    <w:p>
      <w:pPr>
        <w:pStyle w:val="Heading3"/>
      </w:pPr>
      <w:r>
        <w:t xml:space="preserve">3.1 A monitor–control architecture with an upstream task-definition</w:t>
      </w:r>
    </w:p>
    <w:p>
      <w:pPr>
        <w:pStyle w:val="FirstParagraph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AI’s generative process is the object level the learner supervises: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merely coexist</w:t>
      </w:r>
      <w:r>
        <w:t xml:space="preserve"> </w:t>
      </w:r>
      <w:r>
        <w:t xml:space="preserve">(Figure 1).</w:t>
      </w:r>
    </w:p>
    <w:p>
      <w:pPr>
        <w:pStyle w:val="CaptionedFigure"/>
      </w:pPr>
      <w:r>
        <w:drawing>
          <wp:inline>
            <wp:extent cx="5334000" cy="3057292"/>
            <wp:effectExtent b="0" l="0" r="0" t="0"/>
            <wp:docPr descr="Figure 1. The CoReasoning architecture." title="" id="25" name="Picture"/>
            <a:graphic>
              <a:graphicData uri="http://schemas.openxmlformats.org/drawingml/2006/picture">
                <pic:pic>
                  <pic:nvPicPr>
                    <pic:cNvPr descr="assets/coreasoning-architecture.svg" id="2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7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CoReasoning architecture.</w:t>
      </w:r>
    </w:p>
    <w:p>
      <w:pPr>
        <w:pStyle w:val="BodyText"/>
      </w:pPr>
      <w:r>
        <w:rPr>
          <w:i/>
          <w:iCs/>
        </w:rPr>
        <w:t xml:space="preserve">Figure 1.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monitor–control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monitor’s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controller’s write.</w:t>
      </w:r>
    </w:p>
    <w:bookmarkEnd w:id="27"/>
    <w:bookmarkStart w:id="28" w:name="X44244f8f52b0cf83a8c12e7669f4d4601dca696"/>
    <w:p>
      <w:pPr>
        <w:pStyle w:val="Heading3"/>
      </w:pPr>
      <w:r>
        <w:t xml:space="preserve">3.2 The temporal-separation claim (what makes the decomposition non-obvious)</w:t>
      </w:r>
    </w:p>
    <w:p>
      <w:pPr>
        <w:pStyle w:val="FirstParagraph"/>
      </w:pPr>
      <w:r>
        <w:t xml:space="preserve">Existing frameworks treat</w:t>
      </w:r>
      <w:r>
        <w:t xml:space="preserve"> </w:t>
      </w:r>
      <w:r>
        <w:t xml:space="preserve">“</w:t>
      </w:r>
      <w:r>
        <w:t xml:space="preserve">use the AI well</w:t>
      </w:r>
      <w:r>
        <w:t xml:space="preserve">”</w:t>
      </w:r>
      <w:r>
        <w:t xml:space="preserve"> </w:t>
      </w:r>
      <w:r>
        <w:t xml:space="preserve">as one skill or, at most, pair</w:t>
      </w:r>
      <w:r>
        <w:t xml:space="preserve"> </w:t>
      </w:r>
      <w:r>
        <w:t xml:space="preserve">“</w:t>
      </w:r>
      <w:r>
        <w:t xml:space="preserve">prompt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evaluate.</w:t>
      </w:r>
      <w:r>
        <w:t xml:space="preserve">”</w:t>
      </w:r>
      <w:r>
        <w:t xml:space="preserve"> </w:t>
      </w:r>
      <w:r>
        <w:t xml:space="preserve">CoReasoning’s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hides exactly the</w:t>
      </w:r>
      <w:r>
        <w:t xml:space="preserve"> </w:t>
      </w:r>
      <w:r>
        <w:t xml:space="preserve">distinctions an educator needs.</w:t>
      </w:r>
    </w:p>
    <w:bookmarkEnd w:id="28"/>
    <w:bookmarkStart w:id="29" w:name="distinguishing-judging-from-steering"/>
    <w:p>
      <w:pPr>
        <w:pStyle w:val="Heading3"/>
      </w:pPr>
      <w:r>
        <w:t xml:space="preserve">3.3 Distinguishing Judging from Steering</w:t>
      </w:r>
    </w:p>
    <w:p>
      <w:pPr>
        <w:pStyle w:val="FirstParagraph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</w:t>
      </w:r>
      <w:r>
        <w:t xml:space="preserve"> </w:t>
      </w:r>
      <w:r>
        <w:t xml:space="preserve">“</w:t>
      </w:r>
      <w:r>
        <w:t xml:space="preserve">improve</w:t>
      </w:r>
      <w:r>
        <w:t xml:space="preserve"> </w:t>
      </w:r>
      <w:r>
        <w:t xml:space="preserve">this</w:t>
      </w:r>
      <w:r>
        <w:t xml:space="preserve">”</w:t>
      </w:r>
      <w:r>
        <w:t xml:space="preserve">), and effectiveness (whether the output actually converges). In the monitor-control terms of</w:t>
      </w:r>
      <w:r>
        <w:t xml:space="preserve"> </w:t>
      </w:r>
      <w:r>
        <w:t xml:space="preserve">Section 3.1, Judging is the monitor’s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controller’s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skill’s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9"/>
    <w:bookmarkEnd w:id="30"/>
    <w:bookmarkStart w:id="31" w:name="theoretical-grounding"/>
    <w:p>
      <w:pPr>
        <w:pStyle w:val="Heading2"/>
      </w:pPr>
      <w:r>
        <w:t xml:space="preserve">4. Theoretical grounding</w:t>
      </w:r>
    </w:p>
    <w:p>
      <w:pPr>
        <w:pStyle w:val="FirstParagraph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Zimmerman’s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Bloom’s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Paul-Elder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Chinn’s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in Computers &amp; Education: AI on whether learners can evaluate AI output quality as experts do.</w:t>
      </w:r>
    </w:p>
    <w:p>
      <w:pPr>
        <w:pStyle w:val="BodyText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is an inversion of cognitive-apprenticeship coaching</w:t>
      </w:r>
      <w:r>
        <w:t xml:space="preserve"> </w:t>
      </w:r>
      <w:r>
        <w:t xml:space="preserve">and scaffolding (Collins, Brown &amp; Newman, 1989), in which the learner, rather than the master, supplies</w:t>
      </w:r>
      <w:r>
        <w:t xml:space="preserve"> </w:t>
      </w:r>
      <w:r>
        <w:t xml:space="preserve">the corrective guidance, and its quality is well described by feed-forward, the</w:t>
      </w:r>
      <w:r>
        <w:t xml:space="preserve"> </w:t>
      </w:r>
      <w:r>
        <w:t xml:space="preserve">“</w:t>
      </w:r>
      <w:r>
        <w:t xml:space="preserve">where to next</w:t>
      </w:r>
      <w:r>
        <w:t xml:space="preserve">”</w:t>
      </w:r>
      <w:r>
        <w:t xml:space="preserve"> </w:t>
      </w:r>
      <w:r>
        <w:t xml:space="preserve">component of effective feedback (Hattie &amp; Timperley, 2007).</w:t>
      </w:r>
    </w:p>
    <w:p>
      <w:pPr>
        <w:pStyle w:val="BodyText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learner’s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CoReasoning’s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31"/>
    <w:bookmarkStart w:id="32" w:name="propositions"/>
    <w:p>
      <w:pPr>
        <w:pStyle w:val="Heading2"/>
      </w:pPr>
      <w:r>
        <w:t xml:space="preserve">5. Propositions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 and the primary</w:t>
      </w:r>
      <w:r>
        <w:t xml:space="preserve"> </w:t>
      </w:r>
      <w:r>
        <w:t xml:space="preserve">defense against the charge that the decomposition merely relabels</w:t>
      </w:r>
      <w:r>
        <w:t xml:space="preserve"> </w:t>
      </w:r>
      <w:r>
        <w:t xml:space="preserve">“</w:t>
      </w:r>
      <w:r>
        <w:t xml:space="preserve">prompting.</w:t>
      </w:r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bookmarkEnd w:id="32"/>
    <w:bookmarkStart w:id="33" w:name="relation-to-prior-frameworks"/>
    <w:p>
      <w:pPr>
        <w:pStyle w:val="Heading2"/>
      </w:pPr>
      <w:r>
        <w:t xml:space="preserve">6. Relation to prior frameworks</w:t>
      </w:r>
    </w:p>
    <w:p>
      <w:pPr>
        <w:pStyle w:val="FirstParagraph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CoReasoning’s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 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learner’s Framing and Steering grades can diverge.</w:t>
      </w:r>
    </w:p>
    <w:p>
      <w:pPr>
        <w:pStyle w:val="BodyText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Cyborg</w:t>
      </w:r>
      <w:r>
        <w:t xml:space="preserve">”</w:t>
      </w:r>
      <w:r>
        <w:t xml:space="preserve"> </w:t>
      </w:r>
      <w:r>
        <w:t xml:space="preserve">mode of continuous push-back-and-validate (Randazzo et al., 2025) and the sharp</w:t>
      </w:r>
      <w:r>
        <w:t xml:space="preserve"> </w:t>
      </w:r>
      <w:r>
        <w:t xml:space="preserve">skill-dependence of AI’s value at the competence frontier (Dell’Acqua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</w:pPr>
      <w:r>
        <w:t xml:space="preserve">Table 1 makes the boundary explicit by mapping each nearest prior framework’s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</w:t>
      </w:r>
      <w:r>
        <w:t xml:space="preserve"> </w:t>
      </w:r>
      <w:r>
        <w:t xml:space="preserve">“</w:t>
      </w:r>
      <w:r>
        <w:t xml:space="preserve">prompting/iteration</w:t>
      </w:r>
      <w:r>
        <w:t xml:space="preserve">”</w:t>
      </w:r>
      <w:r>
        <w:t xml:space="preserve"> </w:t>
      </w:r>
      <w:r>
        <w:t xml:space="preserve">skill.</w:t>
      </w:r>
    </w:p>
    <w:p>
      <w:pPr>
        <w:pStyle w:val="BodyText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Prior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 (pre-generation)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 (post-generation)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4D AI Fluency (Dakan &amp; Feller,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Delegation + part of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Discernment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Metacognitive demands (Tankelevitch et al.,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  <w:r>
              <w:t xml:space="preserve"> </w:t>
            </w:r>
            <w:r>
              <w:t xml:space="preserve">(as a demand, not a skill)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evaluating outputs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workflow iteration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literacy / CLEAR (Lo, 2023)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weakly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iterative refinement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literacy (Long &amp; Magerko, 2020; UNESCO,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diffuse</w:t>
            </w:r>
            <w:r>
              <w:t xml:space="preserve"> </w:t>
            </w:r>
            <w:r>
              <w:t xml:space="preserve">“</w:t>
            </w:r>
            <w:r>
              <w:t xml:space="preserve">critical evaluation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Cyborg/Centaur modes (Randazzo et al.,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directed</w:t>
            </w:r>
            <w:r>
              <w:t xml:space="preserve">”</w:t>
            </w:r>
            <w:r>
              <w:t xml:space="preserve"> </w:t>
            </w:r>
            <w:r>
              <w:t xml:space="preserve">mode (described, not assessed)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push back / validate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continuous dialogue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(with factors derived</w:t>
      </w:r>
      <w:r>
        <w:t xml:space="preserve"> </w:t>
      </w:r>
      <w:r>
        <w:t xml:space="preserve">from digital-competence frameworks) and assessment tests such as GLAT. These establish that GenAI</w:t>
      </w:r>
      <w:r>
        <w:t xml:space="preserve"> </w:t>
      </w:r>
      <w:r>
        <w:t xml:space="preserve">competence can be measured, but their factor structures are literacy-oriented (information literacy,</w:t>
      </w:r>
      <w:r>
        <w:t xml:space="preserve"> </w:t>
      </w:r>
      <w:r>
        <w:t xml:space="preserve">ethics, content creation) and do not isolate a Framing, Judging, or Steering construct. The work</w:t>
      </w:r>
      <w:r>
        <w:t xml:space="preserve"> </w:t>
      </w:r>
      <w:r>
        <w:t xml:space="preserve">closest to ours pairs AI-collaboration literacy with metacognition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</w:t>
      </w:r>
    </w:p>
    <w:p>
      <w:pPr>
        <w:pStyle w:val="BodyText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</w:t>
      </w:r>
      <w:r>
        <w:t xml:space="preserve"> </w:t>
      </w:r>
      <w:r>
        <w:t xml:space="preserve">“</w:t>
      </w:r>
      <w:r>
        <w:t xml:space="preserve">prompt problems</w:t>
      </w:r>
      <w:r>
        <w:t xml:space="preserve">”</w:t>
      </w:r>
      <w:r>
        <w:t xml:space="preserve"> </w:t>
      </w:r>
      <w:r>
        <w:t xml:space="preserve">that require students to specify and evaluate rather than merely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33"/>
    <w:bookmarkStart w:id="34" w:name="the-coreasoning-lab-system"/>
    <w:p>
      <w:pPr>
        <w:pStyle w:val="Heading2"/>
      </w:pPr>
      <w:r>
        <w:t xml:space="preserve">7. The CoReasoning Lab system</w:t>
      </w:r>
    </w:p>
    <w:p>
      <w:pPr>
        <w:pStyle w:val="FirstParagraph"/>
      </w:pPr>
      <w:r>
        <w:t xml:space="preserve">The framework is instantiated in a deployed web platform,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which we describe here so</w:t>
      </w:r>
      <w:r>
        <w:t xml:space="preserve"> </w:t>
      </w:r>
      <w:r>
        <w:t xml:space="preserve">that the abstract skills map onto a concrete learner experience. The platform is role-based (student,</w:t>
      </w:r>
      <w:r>
        <w:t xml:space="preserve"> </w:t>
      </w:r>
      <w:r>
        <w:t xml:space="preserve">instructor, administrator) and bilingual (English and Hebrew), and supports both practice and</w:t>
      </w:r>
      <w:r>
        <w:t xml:space="preserve"> </w:t>
      </w:r>
      <w:r>
        <w:t xml:space="preserve">assessment modes and both multiple-choice and open-ended response formats per phase.</w:t>
      </w:r>
    </w:p>
    <w:p>
      <w:pPr>
        <w:pStyle w:val="BodyText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7.2).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2), a student enters a</w:t>
      </w:r>
      <w:r>
        <w:t xml:space="preserve"> </w:t>
      </w:r>
      <w:r>
        <w:t xml:space="preserve">challenge run that walks through the framework’s two phases (Figure 3):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1 —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2 —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4) that track the three skills independently over time.</w:t>
      </w:r>
    </w:p>
    <w:p>
      <w:pPr>
        <w:pStyle w:val="FirstParagraph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framework’s central claim made operational: a learner sees, and is scored on, three</w:t>
      </w:r>
      <w:r>
        <w:t xml:space="preserve"> </w:t>
      </w:r>
      <w:r>
        <w:t xml:space="preserve">different things they did, not one undifferentiated</w:t>
      </w:r>
      <w:r>
        <w:t xml:space="preserve"> </w:t>
      </w:r>
      <w:r>
        <w:t xml:space="preserve">“</w:t>
      </w:r>
      <w:r>
        <w:t xml:space="preserve">AI use.</w:t>
      </w:r>
      <w:r>
        <w:t xml:space="preserve">”</w:t>
      </w:r>
      <w:r>
        <w:t xml:space="preserve"> </w:t>
      </w:r>
      <w:r>
        <w:t xml:space="preserve">The remainder of this section describes</w:t>
      </w:r>
      <w:r>
        <w:t xml:space="preserve"> </w:t>
      </w:r>
      <w:r>
        <w:t xml:space="preserve">the instrument that produces those scores.</w:t>
      </w:r>
    </w:p>
    <w:bookmarkEnd w:id="34"/>
    <w:bookmarkStart w:id="35" w:name="X88f965ab2b6c2a236609197dd879be439c7e389"/>
    <w:p>
      <w:pPr>
        <w:pStyle w:val="Heading2"/>
      </w:pPr>
      <w:r>
        <w:t xml:space="preserve">7.1 Operationalization: a proof-of-concept instrument</w:t>
      </w:r>
    </w:p>
    <w:p>
      <w:pPr>
        <w:pStyle w:val="FirstParagraph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learner’s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</w:t>
      </w:r>
      <w:r>
        <w:t xml:space="preserve"> </w:t>
      </w:r>
      <w:r>
        <w:t xml:space="preserve">“</w:t>
      </w:r>
      <w:r>
        <w:t xml:space="preserve">best</w:t>
      </w:r>
      <w:r>
        <w:t xml:space="preserve"> </w:t>
      </w:r>
      <w:r>
        <w:t xml:space="preserve">framing</w:t>
      </w:r>
      <w:r>
        <w:t xml:space="preserve">”</w:t>
      </w:r>
      <w:r>
        <w:t xml:space="preserve"> </w:t>
      </w:r>
      <w:r>
        <w:t xml:space="preserve">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</w:p>
    <w:p>
      <w:pPr>
        <w:pStyle w:val="BodyText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learner’s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learner’s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</w:pPr>
      <w:r>
        <w:t xml:space="preserve">The instrument used in this paper is the engine of a deployed prototype (CoReasoning Lab), a library</w:t>
      </w:r>
      <w:r>
        <w:t xml:space="preserve"> </w:t>
      </w:r>
      <w:r>
        <w:t xml:space="preserve">of sixteen prompts spanning challenge construction, AI generation, and evaluation.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methodological caveat applies throughout: the grader is itself a fallible language model, so the</w:t>
      </w:r>
      <w:r>
        <w:t xml:space="preserve"> </w:t>
      </w:r>
      <w:r>
        <w:t xml:space="preserve">feasibility results below speak to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 of the instrument (does it separate</w:t>
      </w:r>
      <w:r>
        <w:t xml:space="preserve"> </w:t>
      </w:r>
      <w:r>
        <w:t xml:space="preserve">controlled competence levels and dissociate the skills?), not to agreement with human experts, which</w:t>
      </w:r>
      <w:r>
        <w:t xml:space="preserve"> </w:t>
      </w:r>
      <w:r>
        <w:t xml:space="preserve">is the separate validity question addressed by the prepared study in Section 10.</w:t>
      </w:r>
    </w:p>
    <w:bookmarkEnd w:id="35"/>
    <w:bookmarkStart w:id="42" w:name="feasibility-demonstration"/>
    <w:p>
      <w:pPr>
        <w:pStyle w:val="Heading2"/>
      </w:pPr>
      <w:r>
        <w:t xml:space="preserve">8. Feasibility demonstration</w:t>
      </w:r>
    </w:p>
    <w:p>
      <w:pPr>
        <w:pStyle w:val="FirstParagraph"/>
      </w:pPr>
      <w:r>
        <w:t xml:space="preserve">We exercise the instrument over controlled inputs to test two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 and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P3). We make no</w:t>
      </w:r>
      <w:r>
        <w:t xml:space="preserve"> </w:t>
      </w:r>
      <w:r>
        <w:t xml:space="preserve">learning-outcome claims. The</w:t>
      </w:r>
      <w:r>
        <w:t xml:space="preserve"> </w:t>
      </w:r>
      <w:r>
        <w:t xml:space="preserve">“</w:t>
      </w:r>
      <w:r>
        <w:t xml:space="preserve">learners</w:t>
      </w:r>
      <w:r>
        <w:t xml:space="preserve">”</w:t>
      </w:r>
      <w:r>
        <w:t xml:space="preserve"> </w:t>
      </w:r>
      <w:r>
        <w:t xml:space="preserve">are simulated personas of controlled per-skill competence,</w:t>
      </w:r>
      <w:r>
        <w:t xml:space="preserve"> </w:t>
      </w:r>
      <w:r>
        <w:t xml:space="preserve">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 model</w:t>
      </w:r>
      <w:r>
        <w:t xml:space="preserve"> </w:t>
      </w:r>
      <w:r>
        <w:t xml:space="preserve">grades its own output. The validation against human expert graders is prepared but not yet run</w:t>
      </w:r>
      <w:r>
        <w:t xml:space="preserve"> </w:t>
      </w:r>
      <w:r>
        <w:t xml:space="preserve">(Section 10).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five challenges across distinct</w:t>
      </w:r>
      <w:r>
        <w:t xml:space="preserve"> </w:t>
      </w:r>
      <w:r>
        <w:t xml:space="preserve">subjects (algorithms, microeconomics, machine learning, databases, statistics), for 40 simulated</w:t>
      </w:r>
      <w:r>
        <w:t xml:space="preserve"> </w:t>
      </w:r>
      <w:r>
        <w:t xml:space="preserve">learners and 255 blind grading calls. Framing and Steering responses are generated by the</w:t>
      </w:r>
      <w:r>
        <w:t xml:space="preserve"> </w:t>
      </w:r>
      <w:r>
        <w:t xml:space="preserve">competence-conditioned learner model; Judging is operationalized by a competence-conditioned selection</w:t>
      </w:r>
      <w:r>
        <w:t xml:space="preserve"> </w:t>
      </w:r>
      <w:r>
        <w:t xml:space="preserve">over the challenge’s ground-truth seeded issues (a strong judge flags all real issues and no false</w:t>
      </w:r>
      <w:r>
        <w:t xml:space="preserve"> </w:t>
      </w:r>
      <w:r>
        <w:t xml:space="preserve">ones; a weak judge flags few real issues and some false ones).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skill’s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skills’ competence (dissociation).</w:t>
      </w:r>
    </w:p>
    <w:p>
      <w:pPr>
        <w:pStyle w:val="BodyText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skill’s grade rises when that skill is</w:t>
      </w:r>
      <w:r>
        <w:t xml:space="preserve"> </w:t>
      </w:r>
      <w:r>
        <w:t xml:space="preserve">set to strong. The judging signal is mechanistically transparent: a strong judge flags all four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diagonal</w:t>
      </w:r>
      <w:r>
        <w:t xml:space="preserve"> </w:t>
      </w:r>
      <w:r>
        <w:t xml:space="preserve">(the effect of a skill’s own competence on its own grade) averages</w:t>
      </w:r>
      <w:r>
        <w:t xml:space="preserve"> </w:t>
      </w:r>
      <w:r>
        <w:rPr>
          <w:b/>
          <w:bCs/>
        </w:rPr>
        <w:t xml:space="preserve">+1.03</w:t>
      </w:r>
      <w:r>
        <w:t xml:space="preserve">; the off-diagonal (the</w:t>
      </w:r>
      <w:r>
        <w:t xml:space="preserve"> </w:t>
      </w:r>
      <w:r>
        <w:t xml:space="preserve">effect of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skills’ competence) averages</w:t>
      </w:r>
      <w:r>
        <w:t xml:space="preserve"> </w:t>
      </w:r>
      <w:r>
        <w:rPr>
          <w:b/>
          <w:bCs/>
        </w:rPr>
        <w:t xml:space="preserve">−0.02</w:t>
      </w:r>
      <w:r>
        <w:t xml:space="preserve">, a ratio of roughly</w:t>
      </w:r>
      <w:r>
        <w:t xml:space="preserve"> </w:t>
      </w:r>
      <w:r>
        <w:rPr>
          <w:b/>
          <w:bCs/>
        </w:rPr>
        <w:t xml:space="preserve">60 to 1</w:t>
      </w:r>
      <w:r>
        <w:t xml:space="preserve">. Each</w:t>
      </w:r>
      <w:r>
        <w:t xml:space="preserve"> </w:t>
      </w:r>
      <w:r>
        <w:t xml:space="preserve">grade responds to its own skill and is essentially flat in the others (Figure 2).</w:t>
      </w:r>
    </w:p>
    <w:p>
      <w:pPr>
        <w:pStyle w:val="BodyText"/>
      </w:pPr>
      <w:r>
        <w:rPr>
          <w:b/>
          <w:bCs/>
        </w:rPr>
        <w:t xml:space="preserve">Table 2. Effect on each skill’s grade of manipulating each skill’s competence (grade Δ, strong − weak; N=40).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grade of ↓  manipulated 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+0.50</w:t>
            </w:r>
          </w:p>
        </w:tc>
      </w:tr>
    </w:tbl>
    <w:p>
      <w:pPr>
        <w:pStyle w:val="BodyText"/>
      </w:pPr>
      <w:r>
        <w:t xml:space="preserve">The designed-contrast personas make the separation concrete (Figure 3).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 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</w:t>
      </w:r>
      <w:r>
        <w:t xml:space="preserve"> </w:t>
      </w:r>
      <w:r>
        <w:t xml:space="preserve">B, Judging C;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</w:t>
      </w:r>
      <w:r>
        <w:t xml:space="preserve"> </w:t>
      </w:r>
      <w:r>
        <w:t xml:space="preserve">“</w:t>
      </w:r>
      <w:r>
        <w:t xml:space="preserve">AI-use</w:t>
      </w:r>
      <w:r>
        <w:t xml:space="preserve"> </w:t>
      </w:r>
      <w:r>
        <w:t xml:space="preserve">ability</w:t>
      </w:r>
      <w:r>
        <w:t xml:space="preserve">”</w:t>
      </w:r>
      <w:r>
        <w:t xml:space="preserve"> </w:t>
      </w:r>
      <w:r>
        <w:t xml:space="preserve">cannot produce these crossed profiles. Converging evidence comes from outside our synthetic</w:t>
      </w:r>
      <w:r>
        <w:t xml:space="preserve"> </w:t>
      </w:r>
      <w:r>
        <w:t xml:space="preserve">setting: an intervention study finds that students’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</w:t>
      </w:r>
      <w:r>
        <w:t xml:space="preserve"> </w:t>
      </w:r>
      <w:r>
        <w:t xml:space="preserve">queries, checking correctness) predicts effective use, whereas self-rated AI expertise does not</w:t>
      </w:r>
      <w:r>
        <w:t xml:space="preserve"> </w:t>
      </w:r>
      <w:r>
        <w:t xml:space="preserve">(Clerc et al., 2026), consistent with the skill of working with AI being distinct from, and not</w:t>
      </w:r>
      <w:r>
        <w:t xml:space="preserve"> </w:t>
      </w:r>
      <w:r>
        <w:t xml:space="preserve">reducible to, a general self-assessed competence.</w:t>
      </w:r>
    </w:p>
    <w:p>
      <w:pPr>
        <w:pStyle w:val="CaptionedFigure"/>
      </w:pPr>
      <w:r>
        <w:drawing>
          <wp:inline>
            <wp:extent cx="4600754" cy="3864633"/>
            <wp:effectExtent b="0" l="0" r="0" t="0"/>
            <wp:docPr descr="Figure 2. Own-competence effects dominate cross-competence effects on every skill’s grade." title="" id="37" name="Picture"/>
            <a:graphic>
              <a:graphicData uri="http://schemas.openxmlformats.org/drawingml/2006/picture">
                <pic:pic>
                  <pic:nvPicPr>
                    <pic:cNvPr descr="assets/fig_dissociation_heatmap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Own-competence effects dominate cross-competence effects on every skill’s grade.</w:t>
      </w:r>
    </w:p>
    <w:p>
      <w:pPr>
        <w:pStyle w:val="BodyText"/>
      </w:pPr>
      <w:r>
        <w:rPr>
          <w:i/>
          <w:iCs/>
        </w:rPr>
        <w:t xml:space="preserve">Figure 2. Effect of manipulating each skill’s competence (columns) on each skill’s grade (rows).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(own-skill effect) dominates; off-diagonal (cross-skill) effects are near zero.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3. Per-skill grades dissociate by competence profile." title="" id="40" name="Picture"/>
            <a:graphic>
              <a:graphicData uri="http://schemas.openxmlformats.org/drawingml/2006/picture">
                <pic:pic>
                  <pic:nvPicPr>
                    <pic:cNvPr descr="assets/fig_contrast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Per-skill grades dissociate by competence profile.</w:t>
      </w:r>
    </w:p>
    <w:p>
      <w:pPr>
        <w:pStyle w:val="BodyText"/>
      </w:pPr>
      <w:r>
        <w:rPr>
          <w:i/>
          <w:iCs/>
        </w:rPr>
        <w:t xml:space="preserve">Figure 3.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</w:pPr>
      <w:r>
        <w:rPr>
          <w:b/>
          <w:bCs/>
        </w:rPr>
        <w:t xml:space="preserve">Scope and caveats.</w:t>
      </w:r>
      <w:r>
        <w:t xml:space="preserve"> </w:t>
      </w:r>
      <w:r>
        <w:t xml:space="preserve">These results establish feasibility, not validity. (i) Judging’s dissociation is</w:t>
      </w:r>
      <w:r>
        <w:t xml:space="preserve"> </w:t>
      </w:r>
      <w:r>
        <w:t xml:space="preserve">partly built in: its competence is operationalized by a controlled selection over ground-truth issues,</w:t>
      </w:r>
      <w:r>
        <w:t xml:space="preserve"> </w:t>
      </w:r>
      <w:r>
        <w:t xml:space="preserve">so its clean diagonal (+2.00, with zero cross-effects) confirms the grader correctly rewards</w:t>
      </w:r>
      <w:r>
        <w:t xml:space="preserve"> </w:t>
      </w:r>
      <w:r>
        <w:t xml:space="preserve">recall/precision but is not, by itself, a discovered separation. Framing and Steering responses are</w:t>
      </w:r>
      <w:r>
        <w:t xml:space="preserve"> </w:t>
      </w:r>
      <w:r>
        <w:t xml:space="preserve">free-text and blind-graded, so their positive own-effects (+0.60, +0.50) with near-zero cross-effects</w:t>
      </w:r>
      <w:r>
        <w:t xml:space="preserve"> </w:t>
      </w:r>
      <w:r>
        <w:t xml:space="preserve">are the stronger evidence. (ii) The grader is a single model family; whether the dissociation replicates</w:t>
      </w:r>
      <w:r>
        <w:t xml:space="preserve"> </w:t>
      </w:r>
      <w:r>
        <w:t xml:space="preserve">across grader backends, and whether the automated grades agree with human experts, are the validity</w:t>
      </w:r>
      <w:r>
        <w:t xml:space="preserve"> </w:t>
      </w:r>
      <w:r>
        <w:t xml:space="preserve">questions deferred to Section 10. (iii) With three grade indicators a stable factor model is</w:t>
      </w:r>
      <w:r>
        <w:t xml:space="preserve"> </w:t>
      </w:r>
      <w:r>
        <w:t xml:space="preserve">under-identified, so we report the manipulation-based effect matrix rather than an exploratory factor</w:t>
      </w:r>
      <w:r>
        <w:t xml:space="preserve"> </w:t>
      </w:r>
      <w:r>
        <w:t xml:space="preserve">analysis. Steering shows the weakest own-effect, consistent with Proposition P2 (steering quality is</w:t>
      </w:r>
      <w:r>
        <w:t xml:space="preserve"> </w:t>
      </w:r>
      <w:r>
        <w:t xml:space="preserve">bounded, and partly confounded, by the judging it follows).</w:t>
      </w:r>
    </w:p>
    <w:bookmarkEnd w:id="42"/>
    <w:bookmarkStart w:id="43" w:name="tensions-and-boundary-conditions"/>
    <w:p>
      <w:pPr>
        <w:pStyle w:val="Heading2"/>
      </w:pPr>
      <w:r>
        <w:t xml:space="preserve">9. Tensions and boundary conditions</w:t>
      </w:r>
    </w:p>
    <w:p>
      <w:pPr>
        <w:pStyle w:val="FirstParagraph"/>
      </w:pPr>
      <w:r>
        <w:t xml:space="preserve">A mature account must confront four tensions rather than paper over them.</w:t>
      </w:r>
    </w:p>
    <w:p>
      <w:pPr>
        <w:pStyle w:val="BodyText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learner’s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</w:t>
      </w:r>
    </w:p>
    <w:p>
      <w:pPr>
        <w:pStyle w:val="BodyText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framework’s applicability at the</w:t>
      </w:r>
      <w:r>
        <w:t xml:space="preserve"> </w:t>
      </w:r>
      <w:r>
        <w:t xml:space="preserve">expert frontier.</w:t>
      </w:r>
    </w:p>
    <w:bookmarkEnd w:id="43"/>
    <w:bookmarkStart w:id="44" w:name="a-validation-and-assessment-agenda"/>
    <w:p>
      <w:pPr>
        <w:pStyle w:val="Heading2"/>
      </w:pPr>
      <w:r>
        <w:t xml:space="preserve">10. A validation and assessment agenda</w:t>
      </w:r>
    </w:p>
    <w:p>
      <w:pPr>
        <w:pStyle w:val="FirstParagraph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invites.</w:t>
      </w:r>
    </w:p>
    <w:p>
      <w:pPr>
        <w:pStyle w:val="BodyText"/>
      </w:pPr>
      <w:r>
        <w:t xml:space="preserve">First, an instrument-validity study: a stratified sample of transcripts is re-graded by multiple</w:t>
      </w:r>
      <w:r>
        <w:t xml:space="preserve"> </w:t>
      </w:r>
      <w:r>
        <w:t xml:space="preserve">blind human experts using the per-skill rubrics, and agreement with the automated grader is reported</w:t>
      </w:r>
      <w:r>
        <w:t xml:space="preserve"> </w:t>
      </w:r>
      <w:r>
        <w:t xml:space="preserve">as Cohen’s</w:t>
      </w:r>
      <w:r>
        <w:t xml:space="preserve"> </w:t>
      </w:r>
      <m:oMath>
        <m:r>
          <m:t>κ</m:t>
        </m:r>
      </m:oMath>
      <w:r>
        <w:t xml:space="preserve">, Fleiss’</w:t>
      </w:r>
      <w:r>
        <w:t xml:space="preserve"> </w:t>
      </w:r>
      <m:oMath>
        <m:r>
          <m:t>κ</m:t>
        </m:r>
      </m:oMath>
      <w:r>
        <w:t xml:space="preserve">, and ordinal Krippendorff’s</w:t>
      </w:r>
      <w:r>
        <w:t xml:space="preserve"> </w:t>
      </w:r>
      <m:oMath>
        <m:r>
          <m:t>α</m:t>
        </m:r>
      </m:oMath>
      <w:r>
        <w:t xml:space="preserve">, 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Fleiss’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must be validated against humans rather than assumed reliable. We have prepared this study (codebook, blinded</w:t>
      </w:r>
      <w:r>
        <w:t xml:space="preserve"> </w:t>
      </w:r>
      <w:r>
        <w:t xml:space="preserve">rater task files, and scoring scripts) so that it can be run directly. Second, a construct-validity</w:t>
      </w:r>
      <w:r>
        <w:t xml:space="preserve"> </w:t>
      </w:r>
      <w:r>
        <w:t xml:space="preserve">study at scale to test Propositions P1 through P4 with real learners, examining whether Framing,</w:t>
      </w:r>
      <w:r>
        <w:t xml:space="preserve"> </w:t>
      </w:r>
      <w:r>
        <w:t xml:space="preserve">Judging, and Steering dissociate across a learner population and whether the proposed gating relations</w:t>
      </w:r>
      <w:r>
        <w:t xml:space="preserve"> </w:t>
      </w:r>
      <w:r>
        <w:t xml:space="preserve">hold. Third, a grader-robustness study across multiple model backends to separate the framework’s</w:t>
      </w:r>
      <w:r>
        <w:t xml:space="preserve"> </w:t>
      </w:r>
      <w:r>
        <w:t xml:space="preserve">signal from any single model’s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bookmarkEnd w:id="44"/>
    <w:bookmarkStart w:id="45" w:name="limitations"/>
    <w:p>
      <w:pPr>
        <w:pStyle w:val="Heading2"/>
      </w:pPr>
      <w:r>
        <w:t xml:space="preserve">11. Limitations</w:t>
      </w:r>
    </w:p>
    <w:p>
      <w:pPr>
        <w:pStyle w:val="FirstParagraph"/>
      </w:pPr>
      <w:r>
        <w:t xml:space="preserve">This is a conceptual contribution accompanied by a proof-of-concept instrument, not an efficacy study.</w:t>
      </w:r>
      <w:r>
        <w:t xml:space="preserve"> </w:t>
      </w:r>
      <w:r>
        <w:t xml:space="preserve">The feasibility demonstration uses simulated learners of controlled competence, which establish that</w:t>
      </w:r>
      <w:r>
        <w:t xml:space="preserve"> </w:t>
      </w:r>
      <w:r>
        <w:t xml:space="preserve">the grader has signal and that the skills can be measured apart, but which are not human learners. The</w:t>
      </w:r>
      <w:r>
        <w:t xml:space="preserve"> </w:t>
      </w:r>
      <w:r>
        <w:t xml:space="preserve">instrument is exercised with a single model family (llama-3.3-70b) on English-language challenges, and</w:t>
      </w:r>
      <w:r>
        <w:t xml:space="preserve"> </w:t>
      </w:r>
      <w:r>
        <w:t xml:space="preserve">the automated grades have not yet been validated against human experts (Section 10). We make no</w:t>
      </w:r>
      <w:r>
        <w:t xml:space="preserve"> </w:t>
      </w:r>
      <w:r>
        <w:t xml:space="preserve">learning-outcome claim. What the paper establishes is conceptual: a theoretically-grounded</w:t>
      </w:r>
      <w:r>
        <w:t xml:space="preserve"> </w:t>
      </w:r>
      <w:r>
        <w:t xml:space="preserve">decomposition with stated propositions, a precise novelty boundary, and evidence that the three</w:t>
      </w:r>
      <w:r>
        <w:t xml:space="preserve"> </w:t>
      </w:r>
      <w:r>
        <w:t xml:space="preserve">constructs are separable and automatically measurable.</w:t>
      </w:r>
    </w:p>
    <w:bookmarkEnd w:id="45"/>
    <w:bookmarkStart w:id="46" w:name="conclusion"/>
    <w:p>
      <w:pPr>
        <w:pStyle w:val="Heading2"/>
      </w:pPr>
      <w:r>
        <w:t xml:space="preserve">12. Conclusion</w:t>
      </w:r>
    </w:p>
    <w:p>
      <w:pPr>
        <w:pStyle w:val="FirstParagraph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We offer it as a foundation for the assessment and instruction the moment demands.</w:t>
      </w:r>
    </w:p>
    <w:bookmarkEnd w:id="46"/>
    <w:bookmarkStart w:id="53" w:name="appendix-a.-system-walkthrough"/>
    <w:p>
      <w:pPr>
        <w:pStyle w:val="Heading2"/>
      </w:pPr>
      <w:r>
        <w:t xml:space="preserve">Appendix A. System walkthrough</w:t>
      </w:r>
    </w:p>
    <w:p>
      <w:pPr>
        <w:pStyle w:val="FirstParagraph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framework’s central claim that productive AI use is not one skill but three.</w:t>
      </w:r>
    </w:p>
    <w:p>
      <w:pPr>
        <w:pStyle w:val="CaptionedFigure"/>
      </w:pPr>
      <w:r>
        <w:drawing>
          <wp:inline>
            <wp:extent cx="5334000" cy="2726266"/>
            <wp:effectExtent b="0" l="0" r="0" t="0"/>
            <wp:docPr descr="Figure A1. A CoReasoning Lab challenge run." title="" id="48" name="Picture"/>
            <a:graphic>
              <a:graphicData uri="http://schemas.openxmlformats.org/drawingml/2006/picture">
                <pic:pic>
                  <pic:nvPicPr>
                    <pic:cNvPr descr="assets/system-mockup.svg" id="4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A1. A CoReasoning Lab challenge run.</w:t>
      </w:r>
    </w:p>
    <w:p>
      <w:pPr>
        <w:pStyle w:val="BodyText"/>
      </w:pPr>
      <w:r>
        <w:rPr>
          <w:i/>
          <w:iCs/>
        </w:rPr>
        <w:t xml:space="preserve">Figure A1. The learner experience: Framing (Phase 1), the Judge–Steer cycle (Phase 2),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per-skill report. Each skill is scored and given feedback independently.</w:t>
      </w:r>
    </w:p>
    <w:p>
      <w:pPr>
        <w:pStyle w:val="BodyText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CaptionedFigure"/>
      </w:pPr>
      <w:r>
        <w:drawing>
          <wp:inline>
            <wp:extent cx="5334000" cy="3745148"/>
            <wp:effectExtent b="0" l="0" r="0" t="0"/>
            <wp:docPr descr="Figure A2. CoReasoning Lab role interfaces." title="" id="51" name="Picture"/>
            <a:graphic>
              <a:graphicData uri="http://schemas.openxmlformats.org/drawingml/2006/picture">
                <pic:pic>
                  <pic:nvPicPr>
                    <pic:cNvPr descr="assets/interface-gallery.svg" id="5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5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A2. CoReasoning Lab role interfaces.</w:t>
      </w:r>
    </w:p>
    <w:p>
      <w:pPr>
        <w:pStyle w:val="BodyText"/>
      </w:pPr>
      <w:r>
        <w:rPr>
          <w:i/>
          <w:iCs/>
        </w:rPr>
        <w:t xml:space="preserve">Figure A2. Role interfaces. Top: the student dashboard and the instructor challenge-authoring screen.</w:t>
      </w:r>
      <w:r>
        <w:rPr>
          <w:i/>
          <w:iCs/>
        </w:rPr>
        <w:t xml:space="preserve"> </w:t>
      </w:r>
      <w:r>
        <w:rPr>
          <w:i/>
          <w:iCs/>
        </w:rPr>
        <w:t xml:space="preserve">Bottom: the student trend report (per-skill grades over time) and the instructor course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(grade distribution by rubric and per-student results). All views report Framing, Judging, and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independently.</w:t>
      </w:r>
    </w:p>
    <w:bookmarkEnd w:id="53"/>
    <w:bookmarkStart w:id="54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[Rendered from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(43 entries, validated). See the repository for the BibTeX source.]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svg" /><Relationship Type="http://schemas.openxmlformats.org/officeDocument/2006/relationships/image" Id="rId39" Target="media/rId39.png" /><Relationship Type="http://schemas.openxmlformats.org/officeDocument/2006/relationships/image" Id="rId36" Target="media/rId36.png" /><Relationship Type="http://schemas.openxmlformats.org/officeDocument/2006/relationships/image" Id="rId50" Target="media/rId50.svg" /><Relationship Type="http://schemas.openxmlformats.org/officeDocument/2006/relationships/image" Id="rId47" Target="media/rId47.svg" /><Relationship Type="http://schemas.openxmlformats.org/officeDocument/2006/relationships/hyperlink" Id="rId21" Target="https://github.com/ApartsinProjects/CoRea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ApartsinProjects/CoRea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2026-06-01T06:51:24Z</dcterms:created>
  <dcterms:modified xsi:type="dcterms:W3CDTF">2026-06-01T06:51:24Z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