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students</w:t>
      </w:r>
      <w:r>
        <w:t xml:space="preserve"> </w:t>
      </w:r>
      <w:r>
        <w:t xml:space="preserve">adopt these tools, uncritical use is increasingly linked to cognitive offloading and weakened critical</w:t>
      </w:r>
      <w:r>
        <w:t xml:space="preserve"> </w:t>
      </w:r>
      <w:r>
        <w:t xml:space="preserve">thinking. The skill that now matters is therefore not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students use AI, but whether they use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critically</w:t>
      </w:r>
      <w:r>
        <w:t xml:space="preserve">: framing the task before they ask, judging the output they get back, and steering the</w:t>
      </w:r>
      <w:r>
        <w:t xml:space="preserve"> </w:t>
      </w:r>
      <w:r>
        <w:t xml:space="preserve">model toward something better. This skill, however, cannot currently be assessed. Existing AI-literacy</w:t>
      </w:r>
      <w:r>
        <w:t xml:space="preserve"> </w:t>
      </w:r>
      <w:r>
        <w:t xml:space="preserve">measures fold it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learner’s AI use</w:t>
      </w:r>
      <w:r>
        <w:t xml:space="preserve"> </w:t>
      </w:r>
      <w:r>
        <w:t xml:space="preserve">succeeds or fails, whether they specified the task poorly, missed the flaws in the output, or failed to</w:t>
      </w:r>
      <w:r>
        <w:t xml:space="preserve"> </w:t>
      </w:r>
      <w:r>
        <w:t xml:space="preserve">correct them. We argue that the competency can instead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2026-06-01T08:53:56Z</dcterms:created>
  <dcterms:modified xsi:type="dcterms:W3CDTF">2026-06-01T08:53:56Z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